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0C" w:rsidRDefault="008F1B0C">
      <w:pPr>
        <w:rPr>
          <w:rFonts w:eastAsia="仿宋_GB2312" w:hint="eastAsia"/>
          <w:sz w:val="30"/>
        </w:rPr>
      </w:pPr>
    </w:p>
    <w:p w:rsidR="008F1B0C" w:rsidRDefault="008E3A15">
      <w:pPr>
        <w:spacing w:line="360" w:lineRule="auto"/>
        <w:jc w:val="center"/>
        <w:rPr>
          <w:rFonts w:ascii="黑体" w:eastAsia="黑体" w:hAnsi="黑体"/>
          <w:sz w:val="32"/>
          <w:szCs w:val="32"/>
        </w:rPr>
      </w:pPr>
      <w:r>
        <w:rPr>
          <w:rFonts w:ascii="黑体" w:eastAsia="黑体" w:hAnsi="黑体" w:hint="eastAsia"/>
          <w:sz w:val="32"/>
          <w:szCs w:val="32"/>
        </w:rPr>
        <w:t>苏州市市级预算部门（单位）整体支出预算绩效自评报告</w:t>
      </w:r>
    </w:p>
    <w:p w:rsidR="008F1B0C" w:rsidRDefault="008E3A15">
      <w:pPr>
        <w:spacing w:line="360" w:lineRule="auto"/>
        <w:jc w:val="center"/>
        <w:rPr>
          <w:rFonts w:ascii="黑体" w:eastAsia="黑体"/>
          <w:sz w:val="32"/>
          <w:szCs w:val="32"/>
        </w:rPr>
      </w:pPr>
      <w:r>
        <w:rPr>
          <w:rFonts w:ascii="黑体" w:eastAsia="黑体" w:hint="eastAsia"/>
          <w:sz w:val="32"/>
          <w:szCs w:val="32"/>
        </w:rPr>
        <w:t>（2022年度）</w:t>
      </w:r>
    </w:p>
    <w:p w:rsidR="008F1B0C" w:rsidRDefault="008F1B0C">
      <w:pPr>
        <w:spacing w:line="360" w:lineRule="auto"/>
        <w:jc w:val="center"/>
        <w:rPr>
          <w:rFonts w:eastAsia="仿宋_GB2312"/>
          <w:sz w:val="30"/>
        </w:rPr>
      </w:pPr>
    </w:p>
    <w:p w:rsidR="008F1B0C" w:rsidRDefault="008E3A15">
      <w:pPr>
        <w:spacing w:line="360" w:lineRule="auto"/>
        <w:ind w:firstLineChars="200" w:firstLine="600"/>
        <w:rPr>
          <w:rFonts w:ascii="黑体" w:eastAsia="黑体" w:hAnsi="黑体" w:hint="eastAsia"/>
          <w:sz w:val="30"/>
        </w:rPr>
      </w:pPr>
      <w:r>
        <w:rPr>
          <w:rFonts w:ascii="黑体" w:eastAsia="黑体" w:hAnsi="黑体" w:hint="eastAsia"/>
          <w:sz w:val="30"/>
        </w:rPr>
        <w:t>一、预算部门名称：</w:t>
      </w:r>
      <w:r w:rsidR="00645122">
        <w:rPr>
          <w:rFonts w:ascii="宋体" w:hAnsi="宋体" w:cs="宋体" w:hint="eastAsia"/>
          <w:sz w:val="24"/>
        </w:rPr>
        <w:t>江苏苏州</w:t>
      </w:r>
      <w:r w:rsidR="00645122">
        <w:rPr>
          <w:rFonts w:ascii="宋体" w:hAnsi="宋体" w:cs="宋体"/>
          <w:sz w:val="24"/>
        </w:rPr>
        <w:t>干部学院</w:t>
      </w:r>
    </w:p>
    <w:p w:rsidR="008F1B0C" w:rsidRDefault="008E3A15">
      <w:pPr>
        <w:spacing w:line="360" w:lineRule="auto"/>
        <w:ind w:firstLineChars="200" w:firstLine="600"/>
        <w:rPr>
          <w:rFonts w:ascii="黑体" w:eastAsia="黑体" w:hAnsi="黑体"/>
          <w:sz w:val="30"/>
        </w:rPr>
      </w:pPr>
      <w:r>
        <w:rPr>
          <w:rFonts w:ascii="黑体" w:eastAsia="黑体" w:hAnsi="黑体" w:hint="eastAsia"/>
          <w:sz w:val="30"/>
        </w:rPr>
        <w:t>二、</w:t>
      </w:r>
      <w:r>
        <w:rPr>
          <w:rFonts w:ascii="黑体" w:eastAsia="黑体" w:hAnsi="黑体"/>
          <w:sz w:val="30"/>
        </w:rPr>
        <w:t>年度履职目标完成情况</w:t>
      </w:r>
      <w:r>
        <w:rPr>
          <w:rFonts w:ascii="黑体" w:eastAsia="黑体" w:hAnsi="黑体" w:hint="eastAsia"/>
          <w:sz w:val="30"/>
        </w:rPr>
        <w:t>：</w:t>
      </w:r>
    </w:p>
    <w:p w:rsidR="008F1B0C" w:rsidRDefault="008E3A15">
      <w:pPr>
        <w:spacing w:line="360" w:lineRule="auto"/>
        <w:ind w:firstLineChars="200" w:firstLine="480"/>
        <w:rPr>
          <w:rFonts w:ascii="宋体" w:hAnsi="宋体" w:cs="宋体"/>
          <w:sz w:val="24"/>
        </w:rPr>
      </w:pPr>
      <w:r>
        <w:rPr>
          <w:rFonts w:ascii="宋体" w:hAnsi="宋体" w:cs="宋体" w:hint="eastAsia"/>
          <w:sz w:val="24"/>
        </w:rPr>
        <w:t xml:space="preserve">    2022年是党的二十大胜利召开之年，是学院贯彻党中央和省委市委要求的转型之年。一年来，学院以习近平新时代中国特色社会主义思想为指导，深入学习宣传贯彻党的二十大精神和习近平总书记重要讲话重要指示批示精神，按照市委市政府的决策部署，统筹推进疫情防控和事业发展，成功列入中组部发布的《省（自治区、直辖市）党性教育干部学院目录》。学院切实增强办好干部学院的政治责任感、历史使命感和事业进取心，努力不辜负总书记和党中央的嘱托与期望、省委市委及组织部门的肯定与支持，为建设政治过硬、适应新时代要求、具备领导现代化建设能力的干部队伍做出应有的贡献。    学院紧扣主责主业，深耕党性教育，围绕干部教育培训主题，第一时间牵头组织开发《学深悟透&lt;习近平谈治国理政&gt;第四卷》《解读党的二十大报告主要内容》等课程，作为培训班的首课、主课。拓展完善党性教育课程体系，开发理论课程47门，现场教学核心课程12门、核心线路22条，并不断提升培训班党性教育课程比重。持续推进党史学习教育常态化长效化，“三下沉”项目累计宣讲近50场，辐射太仓、昆山等7个板块25个基层基地，服务约2500人次。选编“习近平总书记关于干部教育培训重要论述”，编写“习近平新时代中国特色社会主义思想指引下的苏州生动实践”系列教材3本。持续深化干部教育培训“两个规律”研究，完成国家乡村振兴局委托的干部教育培训考核评价体系与陪伴式教学的理论创新工作。与大别山干部学院、信阳市委党校签署战略合作协议，完成“全国六院校基层干部高质量培训合作机制”轮值相关工作。建设具备实时直播教学、优质课程录制、在线视频会议等功能的“苏干云在线课堂”。注重学风建设，明确班主任工作职责、出台《学员生活管理制度》，打造向各地参训学员展示学院和苏州良好形象的“第一窗口”。细化各项工作，提升管理水平。面对复杂多变的疫情形势，全院上下紧抓宝贵的“窗口期”，努力做到“复工即冲刺”，全年实际运行的6个多月里完成培训任务104期，服务参训学员</w:t>
      </w:r>
      <w:r>
        <w:rPr>
          <w:rFonts w:ascii="宋体" w:hAnsi="宋体" w:cs="宋体" w:hint="eastAsia"/>
          <w:sz w:val="24"/>
        </w:rPr>
        <w:lastRenderedPageBreak/>
        <w:t>5989人、28354人天（约为常年的70%左右），实际汇缴非税收入达到2610万元。学院党委专题学习新时代人才工作、深化职称制度改革等文件精神和政策要求，着手谋划合理配置岗位、科学引人育才、明确职责要求、规范职称晋聘等深层次人事制度改革事宜。学院根据办学条件的特殊性，创新干部学院楼宇化管理模式，将安全生产、物资管理、信息化建设纳入网格化管理，关注细节、重在经常。学院推进校园门户网站完成升级改造，实施信息发布三级审核制度，常态化开展网络信息安全监测与宣传教育。学院重视档案管理提档升级，通过最新5年一轮的省机关团体企业事业单位档案工作检查评价。    学院立足科研资政，加强智库建设，学院科研项目和成果实现量质并举，成功立项市级以上课题8项、院级课题项目18项，增幅分别达到60%和260%。新农智库聚焦产业发展、生态文明、乡村振兴、农业文化等苏州社会经济文化发展与改革的重点领域，提交资政报告15篇，其中，2篇得到市委曹路宝书记批示、1篇得到市委黄爱军副书记批示；部分资政建议被地方政府与条线部门采纳运用。持续推进新农情观测点建设，全年采集103个村公共服务方面数据，共47个指标、4841条信息，完成40个村的10个领域数据集，完成镇级、村级碳排放核算与碳中和路径报告2份，具有自有知识产权的数据资料库已经初具雏形。积极鼓励教师参与科研，初步建立“资政报告交流研讨与成果评优”长效机制及品牌活动；努力推动科研资政与教学培训相互促进、协同发展。</w:t>
      </w:r>
    </w:p>
    <w:p w:rsidR="008F1B0C" w:rsidRDefault="008E3A15">
      <w:pPr>
        <w:spacing w:line="360" w:lineRule="auto"/>
        <w:ind w:left="600"/>
        <w:rPr>
          <w:rFonts w:ascii="黑体" w:eastAsia="黑体" w:hAnsi="黑体"/>
          <w:sz w:val="30"/>
        </w:rPr>
      </w:pPr>
      <w:r>
        <w:rPr>
          <w:rFonts w:ascii="黑体" w:eastAsia="黑体" w:hAnsi="黑体" w:hint="eastAsia"/>
          <w:sz w:val="30"/>
        </w:rPr>
        <w:t>三、部门（单位）概况</w:t>
      </w:r>
    </w:p>
    <w:p w:rsidR="008F1B0C" w:rsidRDefault="008E3A15">
      <w:pPr>
        <w:spacing w:line="360" w:lineRule="auto"/>
        <w:ind w:firstLineChars="200" w:firstLine="480"/>
        <w:rPr>
          <w:rFonts w:ascii="宋体" w:hAnsi="宋体" w:cs="宋体"/>
          <w:sz w:val="24"/>
        </w:rPr>
      </w:pPr>
      <w:r>
        <w:rPr>
          <w:rFonts w:ascii="宋体" w:hAnsi="宋体" w:cs="宋体" w:hint="eastAsia"/>
          <w:sz w:val="24"/>
        </w:rPr>
        <w:t xml:space="preserve">     一、学院主要职能（一）面向干部、党员开展党的创新理论教育、党性教育、专业化能力培训；（二）开展马克思主义基本理论研究，重点研究宣传习近平新时代中国特色社会主义思想；（三）加强对改革开放精神、企业家精神以及江苏、苏州改革开放发展历程和最新实践的研究，传承红色基因、赓续红色血脉；（四）承办党委和政府以及相关部门举办的专题研讨班；（五）开展重大理论和现实问题研究，承担党委和政府决策咨询服务；（六）完成党委和政府交办的其他任务。二、学院部门机构设置，根据部门职责分工，本部门内设机构包括：（1）党政办公室（2）组织宣传处（3）纪检监督处（4）人事财务处（5）后勤管理处（6）对外联络处（7）教学培训处（8）学员工作处（9）科研与质监处。</w:t>
      </w:r>
    </w:p>
    <w:p w:rsidR="008F1B0C" w:rsidRDefault="008E3A15">
      <w:pPr>
        <w:spacing w:line="360" w:lineRule="auto"/>
        <w:ind w:left="600"/>
        <w:rPr>
          <w:rFonts w:ascii="黑体" w:eastAsia="黑体" w:hAnsi="黑体"/>
          <w:sz w:val="30"/>
        </w:rPr>
      </w:pPr>
      <w:r>
        <w:rPr>
          <w:rFonts w:ascii="黑体" w:eastAsia="黑体" w:hAnsi="黑体" w:hint="eastAsia"/>
          <w:sz w:val="30"/>
        </w:rPr>
        <w:t>四、部门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整体支出绩效实现情况</w:t>
      </w:r>
    </w:p>
    <w:p w:rsidR="008F1B0C" w:rsidRDefault="008E3A15">
      <w:pPr>
        <w:spacing w:line="360" w:lineRule="auto"/>
        <w:ind w:firstLineChars="200" w:firstLine="480"/>
        <w:rPr>
          <w:rFonts w:ascii="宋体" w:hAnsi="宋体" w:cs="宋体"/>
          <w:sz w:val="24"/>
        </w:rPr>
      </w:pPr>
      <w:r>
        <w:rPr>
          <w:rFonts w:ascii="宋体" w:hAnsi="宋体" w:cs="宋体" w:hint="eastAsia"/>
          <w:sz w:val="24"/>
        </w:rPr>
        <w:t xml:space="preserve">    完成苏州市委、市政府和苏州各县级市（区）以及各部门安排对接的干部教育培训任务。实现立足苏州、服务江苏、面向全国的办学方向，全年各级各类培训班</w:t>
      </w:r>
      <w:r>
        <w:rPr>
          <w:rFonts w:ascii="宋体" w:hAnsi="宋体" w:cs="宋体" w:hint="eastAsia"/>
          <w:sz w:val="24"/>
        </w:rPr>
        <w:lastRenderedPageBreak/>
        <w:t>任务合计不少于 100期；围绕干部教育培训主题，拓展完善党性教育课程体系，与时俱进开发新课，推陈出新加强现场教学点建设，确保党性教育理论课程总数不少于 40 门，党性教育核心现场教学点总数不少于 20 门；高质量完成中组部办学质量评估工作，并成功列入中组部发布的《省（自治区、直辖市）党性教育干部学院目录》；高质高效推进教学培训管理工作，推动党性教育规范化建设，加强对外联络和培训需求调研，注重培训全过程质量反馈；推进全流程专业化学员管理，加强学风建设等情况，稳步提升院刊质量，完善科研管理制度；干部培训班地区覆盖范围达到 9 个省市（区），培训基层干部超 28000 人次；持续推进党史学习教育常态化长效 化，提供“三下沉”项目宣讲培训服务，推进对外交流与合作，总结推广先进教学理念，加强智库建设，积极参与咨询咨政工作；干部培训创新，持续深化干部教育培训研究，拓展特色课程体系，编写培训教材，推动理论创新。丰富党性教育教学形式，加强培训载体建设。打造精品党课，传承红色基因。深化“互联网+培训”，建设“智慧课堂”；科研质监工作创新，加快推动智库平台建设,构建自有知识产权的数据资料库，围绕“1+3+n”目标体系，构建智库协同创新网络，服务三农工作，助力乡村振兴；积极打造科研资政高地，资政报告实现质量突破，构建培训质量监督工作的 “1441”工作法，创新开展培训质量多维度评估工作，有效推进培训质监工作。</w:t>
      </w:r>
    </w:p>
    <w:p w:rsidR="008F1B0C" w:rsidRDefault="008E3A15">
      <w:pPr>
        <w:spacing w:line="360" w:lineRule="auto"/>
        <w:ind w:left="600"/>
        <w:rPr>
          <w:rFonts w:ascii="黑体" w:eastAsia="黑体" w:hAnsi="黑体"/>
          <w:sz w:val="30"/>
        </w:rPr>
      </w:pPr>
      <w:r>
        <w:rPr>
          <w:rFonts w:ascii="黑体" w:eastAsia="黑体" w:hAnsi="黑体" w:hint="eastAsia"/>
          <w:sz w:val="30"/>
        </w:rPr>
        <w:t>五、部门</w:t>
      </w:r>
      <w:r>
        <w:rPr>
          <w:rFonts w:ascii="黑体" w:eastAsia="黑体" w:hAnsi="黑体"/>
          <w:sz w:val="30"/>
        </w:rPr>
        <w:t>（</w:t>
      </w:r>
      <w:r>
        <w:rPr>
          <w:rFonts w:ascii="黑体" w:eastAsia="黑体" w:hAnsi="黑体" w:hint="eastAsia"/>
          <w:sz w:val="30"/>
        </w:rPr>
        <w:t>单位</w:t>
      </w:r>
      <w:r>
        <w:rPr>
          <w:rFonts w:ascii="黑体" w:eastAsia="黑体" w:hAnsi="黑体"/>
          <w:sz w:val="30"/>
        </w:rPr>
        <w:t>）</w:t>
      </w:r>
      <w:r>
        <w:rPr>
          <w:rFonts w:ascii="黑体" w:eastAsia="黑体" w:hAnsi="黑体" w:hint="eastAsia"/>
          <w:sz w:val="30"/>
        </w:rPr>
        <w:t>整体支出绩效中存</w:t>
      </w:r>
      <w:r>
        <w:rPr>
          <w:rFonts w:ascii="黑体" w:eastAsia="黑体" w:hAnsi="黑体"/>
          <w:sz w:val="30"/>
        </w:rPr>
        <w:t>在问题</w:t>
      </w:r>
      <w:r>
        <w:rPr>
          <w:rFonts w:ascii="黑体" w:eastAsia="黑体" w:hAnsi="黑体" w:hint="eastAsia"/>
          <w:sz w:val="30"/>
        </w:rPr>
        <w:t>及</w:t>
      </w:r>
      <w:r>
        <w:rPr>
          <w:rFonts w:ascii="黑体" w:eastAsia="黑体" w:hAnsi="黑体"/>
          <w:sz w:val="30"/>
        </w:rPr>
        <w:t>改进措施</w:t>
      </w:r>
    </w:p>
    <w:p w:rsidR="008F1B0C" w:rsidRDefault="008E3A15">
      <w:pPr>
        <w:spacing w:line="360" w:lineRule="auto"/>
        <w:ind w:firstLineChars="200" w:firstLine="480"/>
        <w:rPr>
          <w:rFonts w:ascii="宋体" w:hAnsi="宋体" w:cs="宋体"/>
          <w:sz w:val="24"/>
        </w:rPr>
      </w:pPr>
      <w:r>
        <w:rPr>
          <w:rFonts w:ascii="宋体" w:hAnsi="宋体" w:cs="宋体" w:hint="eastAsia"/>
          <w:sz w:val="24"/>
        </w:rPr>
        <w:t xml:space="preserve">    回顾2022年，学院党委凝聚全员工作合力，取得了一些成绩，但也存在以下一些问题：一是“保落实”有不足。学院部分决策、执行、监督的压力传导不够到位、工作推进不够迅速，有时缺乏深入教育宣传、沟通协调，导致实际成效不理想。二是“高定位”有差距。作为中组部备案的省级党性教育基地、新发布的省党性教育干部学院，在加强政治理论学习、加强思想政治工作、加强思政教师引进培育使用、加强党员干部教育管理监督等方面还存在着认识不深入、目标欠清晰、措施不到位、关注有盲点的问题。三是“立新规”有短板。针对主责主业新内涵、培训对象新变化、岗位职责新要求、成长进步新途径，原先的一些制度和规定已经无法满足实际需要、无法匹配政策要求，破立改废不够及时、激励成效不够显著，一定程度上制约着学院的转型发展和质量提升。学院要以质量评估、目录发布、更名调整、隶属变更为新起点，始终坚持以习近平新时代中国特色社会主义思想为指导，贯彻落实党的二十大精神，淬炼初心、践行使命，凝心聚力、踔厉奋发，推动党性教育干部学院规范化、特色化、内涵式发展，增强干部教育培训的政治性、时代性、针对性、有效性，为全面推进中</w:t>
      </w:r>
      <w:r>
        <w:rPr>
          <w:rFonts w:ascii="宋体" w:hAnsi="宋体" w:cs="宋体" w:hint="eastAsia"/>
          <w:sz w:val="24"/>
        </w:rPr>
        <w:lastRenderedPageBreak/>
        <w:t>国式现代化苏州新实践作出更大贡献，努力谱写新时代江苏苏州干部学院发展新篇章！</w:t>
      </w:r>
    </w:p>
    <w:p w:rsidR="008F1B0C" w:rsidRDefault="008E3A15">
      <w:pPr>
        <w:spacing w:line="360" w:lineRule="auto"/>
        <w:ind w:left="600"/>
        <w:rPr>
          <w:rFonts w:ascii="黑体" w:eastAsia="黑体" w:hAnsi="黑体"/>
          <w:sz w:val="30"/>
        </w:rPr>
      </w:pPr>
      <w:r>
        <w:rPr>
          <w:rFonts w:ascii="黑体" w:eastAsia="黑体" w:hAnsi="黑体" w:hint="eastAsia"/>
          <w:sz w:val="30"/>
        </w:rPr>
        <w:t>六、</w:t>
      </w:r>
      <w:r>
        <w:rPr>
          <w:rFonts w:ascii="黑体" w:eastAsia="黑体" w:hAnsi="黑体"/>
          <w:sz w:val="30"/>
        </w:rPr>
        <w:t>绩效自评</w:t>
      </w:r>
      <w:r>
        <w:rPr>
          <w:rFonts w:ascii="黑体" w:eastAsia="黑体" w:hAnsi="黑体" w:hint="eastAsia"/>
          <w:sz w:val="30"/>
        </w:rPr>
        <w:t>结果</w:t>
      </w:r>
      <w:r>
        <w:rPr>
          <w:rFonts w:ascii="黑体" w:eastAsia="黑体" w:hAnsi="黑体"/>
          <w:sz w:val="30"/>
        </w:rPr>
        <w:t>拟应用和公开</w:t>
      </w:r>
      <w:r>
        <w:rPr>
          <w:rFonts w:ascii="黑体" w:eastAsia="黑体" w:hAnsi="黑体" w:hint="eastAsia"/>
          <w:sz w:val="30"/>
        </w:rPr>
        <w:t>情况</w:t>
      </w:r>
    </w:p>
    <w:p w:rsidR="008F1B0C" w:rsidRDefault="008E3A15">
      <w:pPr>
        <w:spacing w:line="360" w:lineRule="auto"/>
        <w:ind w:firstLineChars="200" w:firstLine="480"/>
        <w:rPr>
          <w:rFonts w:ascii="宋体" w:hAnsi="宋体" w:cs="宋体"/>
          <w:sz w:val="24"/>
        </w:rPr>
      </w:pPr>
      <w:r>
        <w:rPr>
          <w:rFonts w:ascii="宋体" w:hAnsi="宋体" w:cs="宋体" w:hint="eastAsia"/>
          <w:sz w:val="24"/>
        </w:rPr>
        <w:t>拟应用和公开。</w:t>
      </w:r>
    </w:p>
    <w:p w:rsidR="008F1B0C" w:rsidRDefault="008F1B0C">
      <w:pPr>
        <w:spacing w:line="360" w:lineRule="auto"/>
        <w:rPr>
          <w:rFonts w:ascii="黑体" w:eastAsia="黑体" w:hAnsi="黑体"/>
          <w:sz w:val="30"/>
        </w:rPr>
        <w:sectPr w:rsidR="008F1B0C">
          <w:headerReference w:type="even" r:id="rId7"/>
          <w:headerReference w:type="default" r:id="rId8"/>
          <w:footerReference w:type="even" r:id="rId9"/>
          <w:footerReference w:type="default" r:id="rId10"/>
          <w:headerReference w:type="first" r:id="rId11"/>
          <w:footerReference w:type="first" r:id="rId12"/>
          <w:pgSz w:w="11907" w:h="16840"/>
          <w:pgMar w:top="1247" w:right="1400" w:bottom="1089" w:left="1559" w:header="851" w:footer="992" w:gutter="0"/>
          <w:paperSrc w:first="15" w:other="15"/>
          <w:cols w:space="720"/>
          <w:docGrid w:type="lines" w:linePitch="312"/>
        </w:sectPr>
      </w:pPr>
    </w:p>
    <w:p w:rsidR="008F1B0C" w:rsidRDefault="008E3A15">
      <w:pPr>
        <w:numPr>
          <w:ilvl w:val="0"/>
          <w:numId w:val="1"/>
        </w:numPr>
        <w:spacing w:line="360" w:lineRule="auto"/>
        <w:ind w:left="600"/>
        <w:rPr>
          <w:rFonts w:ascii="黑体" w:eastAsia="黑体" w:hAnsi="黑体"/>
          <w:sz w:val="30"/>
        </w:rPr>
      </w:pPr>
      <w:r>
        <w:rPr>
          <w:rFonts w:ascii="黑体" w:eastAsia="黑体" w:hAnsi="黑体" w:hint="eastAsia"/>
          <w:sz w:val="30"/>
        </w:rPr>
        <w:lastRenderedPageBreak/>
        <w:t>预算信息</w:t>
      </w:r>
    </w:p>
    <w:p w:rsidR="008F1B0C" w:rsidRDefault="008F1B0C">
      <w:pPr>
        <w:spacing w:line="360" w:lineRule="auto"/>
        <w:ind w:left="600"/>
        <w:rPr>
          <w:rFonts w:ascii="黑体" w:eastAsia="黑体" w:hAnsi="黑体"/>
          <w:sz w:val="30"/>
        </w:rPr>
      </w:pPr>
    </w:p>
    <w:tbl>
      <w:tblPr>
        <w:tblW w:w="1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2268"/>
        <w:gridCol w:w="2268"/>
        <w:gridCol w:w="2268"/>
        <w:gridCol w:w="2268"/>
        <w:gridCol w:w="2268"/>
      </w:tblGrid>
      <w:tr w:rsidR="008F1B0C">
        <w:trPr>
          <w:trHeight w:val="339"/>
        </w:trPr>
        <w:tc>
          <w:tcPr>
            <w:tcW w:w="3079"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kern w:val="0"/>
                <w:sz w:val="24"/>
              </w:rPr>
              <w:t>本年度预算资金（万元）</w:t>
            </w:r>
          </w:p>
        </w:tc>
        <w:tc>
          <w:tcPr>
            <w:tcW w:w="2268"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kern w:val="0"/>
                <w:sz w:val="24"/>
              </w:rPr>
              <w:t>年初预算数（万元）</w:t>
            </w:r>
          </w:p>
        </w:tc>
        <w:tc>
          <w:tcPr>
            <w:tcW w:w="2268"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kern w:val="0"/>
                <w:sz w:val="24"/>
              </w:rPr>
              <w:t>上年度结转及当年预算追加追减数(万元）</w:t>
            </w:r>
          </w:p>
        </w:tc>
        <w:tc>
          <w:tcPr>
            <w:tcW w:w="2268"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kern w:val="0"/>
                <w:sz w:val="24"/>
              </w:rPr>
              <w:t>调整预算数（万元）</w:t>
            </w:r>
          </w:p>
        </w:tc>
        <w:tc>
          <w:tcPr>
            <w:tcW w:w="2268"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kern w:val="0"/>
                <w:sz w:val="24"/>
              </w:rPr>
              <w:t>实际支出数（万元）</w:t>
            </w:r>
          </w:p>
        </w:tc>
        <w:tc>
          <w:tcPr>
            <w:tcW w:w="2268"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kern w:val="0"/>
                <w:sz w:val="24"/>
              </w:rPr>
              <w:t>执行率（%)</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预算总金额</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5418.98</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398.33</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5817.31</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5114.6</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87.92%</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基本支出</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2782.76</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326.31</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3109.07</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2804.06</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90.19%</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项目支出</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2636.22</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72.02</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2708.24</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2310.54</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85.32%</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专项业务用水用电用气</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180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180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180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100.00%</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科研项目经费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108</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11</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119</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119</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100.00%</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图书资料购置</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18.3</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18.3</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18.3</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100.00%</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教职员工体检费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25.26</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25.26</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24.92</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98.65%</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信息网络构建费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87</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9.72</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96.72</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83.6</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86.44%</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学院基础设施修缮费用</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233.83</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233.83</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229.04</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97.95%</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专项编印费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90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90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66.65</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74.06%</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专项维修维护费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130.9</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130.9</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130.9</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100.00%</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专项委托业务费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120.5</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50.86</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171.36</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157.79</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92.08%</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lastRenderedPageBreak/>
              <w:t>专项宣传广告费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15</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15</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14.77</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98.47%</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公务出国（境）费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24</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24</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0.00%</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党团活动经费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9.8</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9.8</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2.68</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27.35%</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财产保险费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6.5</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6.5</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6.37</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98.00%</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教职员工培训费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57</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57</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10.87</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19.07%</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教职工伙食费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65.51</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65.51</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64.12</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97.88%</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合作办学经费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586.1</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586.1</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327.73</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55.92%</w:t>
            </w:r>
          </w:p>
        </w:tc>
      </w:tr>
      <w:tr w:rsidR="008F1B0C">
        <w:trPr>
          <w:trHeight w:val="540"/>
        </w:trPr>
        <w:tc>
          <w:tcPr>
            <w:tcW w:w="3079" w:type="dxa"/>
            <w:vAlign w:val="center"/>
          </w:tcPr>
          <w:p w:rsidR="008F1B0C" w:rsidRDefault="008E3A15">
            <w:pPr>
              <w:widowControl/>
              <w:jc w:val="left"/>
              <w:rPr>
                <w:rFonts w:ascii="宋体" w:hAnsi="宋体" w:cs="宋体"/>
                <w:kern w:val="0"/>
                <w:sz w:val="24"/>
              </w:rPr>
            </w:pPr>
            <w:r>
              <w:rPr>
                <w:rFonts w:ascii="宋体" w:hAnsi="宋体" w:cs="宋体" w:hint="eastAsia"/>
                <w:sz w:val="24"/>
              </w:rPr>
              <w:t>物业管理费</w:t>
            </w:r>
          </w:p>
        </w:tc>
        <w:tc>
          <w:tcPr>
            <w:tcW w:w="2268" w:type="dxa"/>
            <w:vAlign w:val="center"/>
          </w:tcPr>
          <w:p w:rsidR="008F1B0C" w:rsidRDefault="008E3A15">
            <w:pPr>
              <w:widowControl/>
              <w:jc w:val="center"/>
              <w:rPr>
                <w:rFonts w:ascii="宋体" w:hAnsi="宋体" w:cs="宋体"/>
                <w:kern w:val="0"/>
                <w:sz w:val="24"/>
              </w:rPr>
            </w:pPr>
            <w:r>
              <w:rPr>
                <w:rFonts w:ascii="宋体" w:hAnsi="宋体" w:cs="宋体" w:hint="eastAsia"/>
                <w:sz w:val="24"/>
              </w:rPr>
              <w:t>878.52</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0</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878.52</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873.8</w:t>
            </w:r>
          </w:p>
        </w:tc>
        <w:tc>
          <w:tcPr>
            <w:tcW w:w="2268" w:type="dxa"/>
            <w:vAlign w:val="center"/>
          </w:tcPr>
          <w:p w:rsidR="008F1B0C" w:rsidRDefault="008E3A15">
            <w:pPr>
              <w:widowControl/>
              <w:jc w:val="center"/>
              <w:rPr>
                <w:rFonts w:ascii="宋体" w:hAnsi="宋体" w:cs="宋体"/>
                <w:sz w:val="24"/>
              </w:rPr>
            </w:pPr>
            <w:r>
              <w:rPr>
                <w:rFonts w:ascii="宋体" w:hAnsi="宋体" w:cs="宋体" w:hint="eastAsia"/>
                <w:sz w:val="24"/>
              </w:rPr>
              <w:t>99.46%</w:t>
            </w:r>
          </w:p>
        </w:tc>
      </w:tr>
    </w:tbl>
    <w:p w:rsidR="008F1B0C" w:rsidRDefault="008F1B0C">
      <w:pPr>
        <w:spacing w:line="360" w:lineRule="auto"/>
        <w:ind w:left="600"/>
        <w:rPr>
          <w:rFonts w:ascii="黑体" w:eastAsia="黑体" w:hAnsi="黑体"/>
          <w:sz w:val="30"/>
        </w:rPr>
      </w:pPr>
    </w:p>
    <w:p w:rsidR="008F1B0C" w:rsidRDefault="008E3A15">
      <w:pPr>
        <w:numPr>
          <w:ilvl w:val="0"/>
          <w:numId w:val="1"/>
        </w:numPr>
        <w:spacing w:line="360" w:lineRule="auto"/>
        <w:ind w:left="600"/>
        <w:rPr>
          <w:rFonts w:ascii="黑体" w:eastAsia="黑体" w:hAnsi="黑体"/>
          <w:sz w:val="30"/>
        </w:rPr>
      </w:pPr>
      <w:r>
        <w:rPr>
          <w:rFonts w:ascii="黑体" w:eastAsia="黑体" w:hAnsi="黑体" w:hint="eastAsia"/>
          <w:sz w:val="30"/>
        </w:rPr>
        <w:t>年度重点任务</w:t>
      </w:r>
    </w:p>
    <w:p w:rsidR="008F1B0C" w:rsidRDefault="008F1B0C">
      <w:pPr>
        <w:spacing w:line="360" w:lineRule="auto"/>
        <w:ind w:left="600"/>
        <w:rPr>
          <w:rFonts w:ascii="黑体" w:eastAsia="黑体" w:hAnsi="黑体"/>
          <w:sz w:val="30"/>
        </w:rPr>
      </w:pPr>
    </w:p>
    <w:tbl>
      <w:tblPr>
        <w:tblW w:w="1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3818"/>
        <w:gridCol w:w="3538"/>
        <w:gridCol w:w="2742"/>
      </w:tblGrid>
      <w:tr w:rsidR="008F1B0C">
        <w:trPr>
          <w:trHeight w:val="339"/>
        </w:trPr>
        <w:tc>
          <w:tcPr>
            <w:tcW w:w="3419" w:type="dxa"/>
            <w:shd w:val="clear" w:color="000000" w:fill="BFBFBF"/>
            <w:vAlign w:val="center"/>
          </w:tcPr>
          <w:p w:rsidR="008F1B0C" w:rsidRDefault="008F1B0C">
            <w:pPr>
              <w:widowControl/>
              <w:jc w:val="center"/>
              <w:rPr>
                <w:rFonts w:ascii="宋体" w:hAnsi="宋体" w:cs="宋体"/>
                <w:b/>
                <w:bCs/>
                <w:kern w:val="0"/>
                <w:sz w:val="24"/>
              </w:rPr>
            </w:pPr>
          </w:p>
          <w:p w:rsidR="008F1B0C" w:rsidRDefault="008E3A15">
            <w:pPr>
              <w:widowControl/>
              <w:jc w:val="center"/>
              <w:rPr>
                <w:rFonts w:ascii="宋体" w:hAnsi="宋体" w:cs="宋体"/>
                <w:b/>
                <w:bCs/>
                <w:kern w:val="0"/>
                <w:sz w:val="24"/>
              </w:rPr>
            </w:pPr>
            <w:r>
              <w:rPr>
                <w:rFonts w:ascii="宋体" w:hAnsi="宋体" w:cs="宋体" w:hint="eastAsia"/>
                <w:b/>
                <w:bCs/>
                <w:kern w:val="0"/>
                <w:sz w:val="24"/>
              </w:rPr>
              <w:t>对应部门主要职责</w:t>
            </w:r>
          </w:p>
          <w:p w:rsidR="008F1B0C" w:rsidRDefault="008F1B0C">
            <w:pPr>
              <w:widowControl/>
              <w:jc w:val="center"/>
              <w:rPr>
                <w:rFonts w:ascii="宋体" w:hAnsi="宋体" w:cs="宋体"/>
                <w:b/>
                <w:bCs/>
                <w:kern w:val="0"/>
                <w:sz w:val="24"/>
              </w:rPr>
            </w:pPr>
          </w:p>
        </w:tc>
        <w:tc>
          <w:tcPr>
            <w:tcW w:w="3818"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kern w:val="0"/>
                <w:sz w:val="24"/>
              </w:rPr>
              <w:t>任务名称</w:t>
            </w:r>
          </w:p>
        </w:tc>
        <w:tc>
          <w:tcPr>
            <w:tcW w:w="3538"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kern w:val="0"/>
                <w:sz w:val="24"/>
              </w:rPr>
              <w:t>主要内容</w:t>
            </w:r>
          </w:p>
        </w:tc>
        <w:tc>
          <w:tcPr>
            <w:tcW w:w="2742"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kern w:val="0"/>
                <w:sz w:val="24"/>
              </w:rPr>
              <w:t>完成情况</w:t>
            </w:r>
          </w:p>
        </w:tc>
      </w:tr>
      <w:tr w:rsidR="008F1B0C">
        <w:trPr>
          <w:trHeight w:val="608"/>
        </w:trPr>
        <w:tc>
          <w:tcPr>
            <w:tcW w:w="3419" w:type="dxa"/>
            <w:vAlign w:val="center"/>
          </w:tcPr>
          <w:p w:rsidR="008F1B0C" w:rsidRDefault="008E3A15">
            <w:pPr>
              <w:widowControl/>
              <w:jc w:val="center"/>
              <w:rPr>
                <w:rFonts w:ascii="宋体" w:hAnsi="宋体" w:cs="宋体"/>
                <w:kern w:val="0"/>
                <w:sz w:val="24"/>
              </w:rPr>
            </w:pPr>
            <w:r>
              <w:rPr>
                <w:rFonts w:ascii="宋体" w:hAnsi="宋体" w:cs="宋体" w:hint="eastAsia"/>
                <w:sz w:val="24"/>
              </w:rPr>
              <w:t>干部培训</w:t>
            </w:r>
          </w:p>
        </w:tc>
        <w:tc>
          <w:tcPr>
            <w:tcW w:w="3818" w:type="dxa"/>
            <w:vAlign w:val="center"/>
          </w:tcPr>
          <w:p w:rsidR="008F1B0C" w:rsidRDefault="008E3A15">
            <w:pPr>
              <w:widowControl/>
              <w:jc w:val="center"/>
              <w:rPr>
                <w:rFonts w:ascii="宋体" w:hAnsi="宋体" w:cs="宋体"/>
                <w:sz w:val="24"/>
              </w:rPr>
            </w:pPr>
            <w:r>
              <w:rPr>
                <w:rFonts w:ascii="宋体" w:hAnsi="宋体" w:cs="宋体" w:hint="eastAsia"/>
                <w:sz w:val="24"/>
              </w:rPr>
              <w:t>负责承接培训任务、制定培训方案、负责课程体系与师资队伍建设、教学基地管理。</w:t>
            </w:r>
          </w:p>
        </w:tc>
        <w:tc>
          <w:tcPr>
            <w:tcW w:w="3538" w:type="dxa"/>
            <w:vAlign w:val="center"/>
          </w:tcPr>
          <w:p w:rsidR="008F1B0C" w:rsidRDefault="008F1B0C">
            <w:pPr>
              <w:widowControl/>
              <w:jc w:val="center"/>
              <w:rPr>
                <w:rFonts w:ascii="宋体" w:hAnsi="宋体" w:cs="宋体"/>
                <w:sz w:val="24"/>
              </w:rPr>
            </w:pPr>
          </w:p>
        </w:tc>
        <w:tc>
          <w:tcPr>
            <w:tcW w:w="2742" w:type="dxa"/>
            <w:vAlign w:val="center"/>
          </w:tcPr>
          <w:p w:rsidR="008F1B0C" w:rsidRDefault="008E3A15">
            <w:pPr>
              <w:widowControl/>
              <w:jc w:val="center"/>
              <w:rPr>
                <w:rFonts w:ascii="宋体" w:hAnsi="宋体" w:cs="宋体"/>
                <w:sz w:val="24"/>
              </w:rPr>
            </w:pPr>
            <w:r>
              <w:rPr>
                <w:rFonts w:ascii="宋体" w:hAnsi="宋体" w:cs="宋体" w:hint="eastAsia"/>
                <w:sz w:val="24"/>
              </w:rPr>
              <w:t>完成</w:t>
            </w:r>
          </w:p>
        </w:tc>
      </w:tr>
      <w:tr w:rsidR="008F1B0C">
        <w:trPr>
          <w:trHeight w:val="608"/>
        </w:trPr>
        <w:tc>
          <w:tcPr>
            <w:tcW w:w="3419" w:type="dxa"/>
            <w:vAlign w:val="center"/>
          </w:tcPr>
          <w:p w:rsidR="008F1B0C" w:rsidRDefault="008E3A15">
            <w:pPr>
              <w:widowControl/>
              <w:jc w:val="center"/>
              <w:rPr>
                <w:rFonts w:ascii="宋体" w:hAnsi="宋体" w:cs="宋体"/>
                <w:kern w:val="0"/>
                <w:sz w:val="24"/>
              </w:rPr>
            </w:pPr>
            <w:r>
              <w:rPr>
                <w:rFonts w:ascii="宋体" w:hAnsi="宋体" w:cs="宋体" w:hint="eastAsia"/>
                <w:sz w:val="24"/>
              </w:rPr>
              <w:t>智库资政</w:t>
            </w:r>
          </w:p>
        </w:tc>
        <w:tc>
          <w:tcPr>
            <w:tcW w:w="3818" w:type="dxa"/>
            <w:vAlign w:val="center"/>
          </w:tcPr>
          <w:p w:rsidR="008F1B0C" w:rsidRDefault="008E3A15">
            <w:pPr>
              <w:widowControl/>
              <w:jc w:val="center"/>
              <w:rPr>
                <w:rFonts w:ascii="宋体" w:hAnsi="宋体" w:cs="宋体"/>
                <w:sz w:val="24"/>
              </w:rPr>
            </w:pPr>
            <w:r>
              <w:rPr>
                <w:rFonts w:ascii="宋体" w:hAnsi="宋体" w:cs="宋体" w:hint="eastAsia"/>
                <w:sz w:val="24"/>
              </w:rPr>
              <w:t>基层调研，农情观测，咨询咨政，服务社会。</w:t>
            </w:r>
          </w:p>
        </w:tc>
        <w:tc>
          <w:tcPr>
            <w:tcW w:w="3538" w:type="dxa"/>
            <w:vAlign w:val="center"/>
          </w:tcPr>
          <w:p w:rsidR="008F1B0C" w:rsidRDefault="008F1B0C">
            <w:pPr>
              <w:widowControl/>
              <w:jc w:val="center"/>
              <w:rPr>
                <w:rFonts w:ascii="宋体" w:hAnsi="宋体" w:cs="宋体"/>
                <w:sz w:val="24"/>
              </w:rPr>
            </w:pPr>
          </w:p>
        </w:tc>
        <w:tc>
          <w:tcPr>
            <w:tcW w:w="2742" w:type="dxa"/>
            <w:vAlign w:val="center"/>
          </w:tcPr>
          <w:p w:rsidR="008F1B0C" w:rsidRDefault="008E3A15">
            <w:pPr>
              <w:widowControl/>
              <w:jc w:val="center"/>
              <w:rPr>
                <w:rFonts w:ascii="宋体" w:hAnsi="宋体" w:cs="宋体"/>
                <w:sz w:val="24"/>
              </w:rPr>
            </w:pPr>
            <w:r>
              <w:rPr>
                <w:rFonts w:ascii="宋体" w:hAnsi="宋体" w:cs="宋体" w:hint="eastAsia"/>
                <w:sz w:val="24"/>
              </w:rPr>
              <w:t>完成</w:t>
            </w:r>
          </w:p>
        </w:tc>
      </w:tr>
    </w:tbl>
    <w:p w:rsidR="008F1B0C" w:rsidRDefault="008F1B0C">
      <w:pPr>
        <w:spacing w:line="360" w:lineRule="auto"/>
        <w:ind w:left="600"/>
        <w:rPr>
          <w:rFonts w:ascii="黑体" w:eastAsia="黑体" w:hAnsi="黑体"/>
          <w:sz w:val="30"/>
        </w:rPr>
      </w:pPr>
    </w:p>
    <w:p w:rsidR="008F1B0C" w:rsidRDefault="008F1B0C">
      <w:pPr>
        <w:spacing w:line="360" w:lineRule="auto"/>
        <w:ind w:left="600"/>
        <w:rPr>
          <w:rFonts w:ascii="黑体" w:eastAsia="黑体" w:hAnsi="黑体"/>
          <w:sz w:val="30"/>
        </w:rPr>
      </w:pPr>
    </w:p>
    <w:p w:rsidR="008F1B0C" w:rsidRDefault="008E3A15">
      <w:pPr>
        <w:numPr>
          <w:ilvl w:val="0"/>
          <w:numId w:val="1"/>
        </w:numPr>
        <w:spacing w:line="360" w:lineRule="auto"/>
        <w:ind w:left="600"/>
        <w:rPr>
          <w:rFonts w:ascii="黑体" w:eastAsia="黑体" w:hAnsi="黑体"/>
          <w:sz w:val="30"/>
        </w:rPr>
      </w:pPr>
      <w:r>
        <w:rPr>
          <w:rFonts w:ascii="黑体" w:eastAsia="黑体" w:hAnsi="黑体" w:hint="eastAsia"/>
          <w:sz w:val="30"/>
        </w:rPr>
        <w:t>部门整体自评表</w:t>
      </w:r>
    </w:p>
    <w:tbl>
      <w:tblPr>
        <w:tblpPr w:leftFromText="180" w:rightFromText="180" w:vertAnchor="text" w:horzAnchor="page" w:tblpX="1656" w:tblpY="127"/>
        <w:tblOverlap w:val="neve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2051"/>
        <w:gridCol w:w="2061"/>
        <w:gridCol w:w="1987"/>
        <w:gridCol w:w="1799"/>
        <w:gridCol w:w="1866"/>
        <w:gridCol w:w="1787"/>
        <w:gridCol w:w="1071"/>
      </w:tblGrid>
      <w:tr w:rsidR="008F1B0C">
        <w:trPr>
          <w:trHeight w:val="339"/>
        </w:trPr>
        <w:tc>
          <w:tcPr>
            <w:tcW w:w="2067" w:type="dxa"/>
            <w:shd w:val="clear" w:color="000000" w:fill="BFBFBF"/>
            <w:vAlign w:val="center"/>
          </w:tcPr>
          <w:p w:rsidR="008F1B0C" w:rsidRDefault="008F1B0C">
            <w:pPr>
              <w:widowControl/>
              <w:jc w:val="center"/>
              <w:rPr>
                <w:rFonts w:ascii="宋体" w:hAnsi="宋体" w:cs="宋体"/>
                <w:b/>
                <w:bCs/>
                <w:kern w:val="0"/>
                <w:sz w:val="24"/>
              </w:rPr>
            </w:pPr>
          </w:p>
        </w:tc>
        <w:tc>
          <w:tcPr>
            <w:tcW w:w="2051"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sz w:val="24"/>
              </w:rPr>
              <w:t>类别</w:t>
            </w:r>
          </w:p>
        </w:tc>
        <w:tc>
          <w:tcPr>
            <w:tcW w:w="2061"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sz w:val="24"/>
              </w:rPr>
              <w:t>指标名称</w:t>
            </w:r>
          </w:p>
        </w:tc>
        <w:tc>
          <w:tcPr>
            <w:tcW w:w="1987"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sz w:val="24"/>
              </w:rPr>
              <w:t>指标目标值</w:t>
            </w:r>
          </w:p>
        </w:tc>
        <w:tc>
          <w:tcPr>
            <w:tcW w:w="1799"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sz w:val="24"/>
              </w:rPr>
              <w:t>指标完成值</w:t>
            </w:r>
          </w:p>
        </w:tc>
        <w:tc>
          <w:tcPr>
            <w:tcW w:w="1866" w:type="dxa"/>
            <w:shd w:val="clear" w:color="000000" w:fill="BFBFBF"/>
            <w:vAlign w:val="center"/>
          </w:tcPr>
          <w:p w:rsidR="008F1B0C" w:rsidRDefault="008E3A15">
            <w:pPr>
              <w:widowControl/>
              <w:jc w:val="center"/>
              <w:rPr>
                <w:rFonts w:ascii="宋体" w:hAnsi="宋体" w:cs="宋体"/>
                <w:b/>
                <w:bCs/>
                <w:kern w:val="0"/>
                <w:sz w:val="24"/>
              </w:rPr>
            </w:pPr>
            <w:r>
              <w:rPr>
                <w:rFonts w:ascii="宋体" w:hAnsi="宋体" w:cs="宋体" w:hint="eastAsia"/>
                <w:b/>
                <w:bCs/>
                <w:sz w:val="24"/>
              </w:rPr>
              <w:t>完成值来源</w:t>
            </w:r>
          </w:p>
        </w:tc>
        <w:tc>
          <w:tcPr>
            <w:tcW w:w="1787" w:type="dxa"/>
            <w:shd w:val="clear" w:color="000000" w:fill="BFBFBF"/>
            <w:vAlign w:val="center"/>
          </w:tcPr>
          <w:p w:rsidR="008F1B0C" w:rsidRDefault="008E3A15">
            <w:pPr>
              <w:widowControl/>
              <w:jc w:val="center"/>
              <w:rPr>
                <w:rFonts w:ascii="宋体" w:hAnsi="宋体" w:cs="宋体"/>
                <w:b/>
                <w:bCs/>
                <w:sz w:val="24"/>
              </w:rPr>
            </w:pPr>
            <w:r>
              <w:rPr>
                <w:rFonts w:ascii="宋体" w:hAnsi="宋体" w:cs="宋体" w:hint="eastAsia"/>
                <w:b/>
                <w:bCs/>
                <w:sz w:val="24"/>
              </w:rPr>
              <w:t>偏差情况</w:t>
            </w:r>
          </w:p>
        </w:tc>
        <w:tc>
          <w:tcPr>
            <w:tcW w:w="1071" w:type="dxa"/>
            <w:shd w:val="clear" w:color="000000" w:fill="BFBFBF"/>
          </w:tcPr>
          <w:p w:rsidR="008F1B0C" w:rsidRDefault="008E3A15">
            <w:pPr>
              <w:widowControl/>
              <w:jc w:val="center"/>
              <w:rPr>
                <w:rFonts w:ascii="黑体" w:eastAsia="黑体" w:hAnsi="黑体"/>
                <w:sz w:val="30"/>
              </w:rPr>
            </w:pPr>
            <w:r>
              <w:rPr>
                <w:rFonts w:ascii="宋体" w:hAnsi="宋体" w:cs="宋体" w:hint="eastAsia"/>
                <w:b/>
                <w:bCs/>
                <w:sz w:val="24"/>
              </w:rPr>
              <w:t>原因分析</w:t>
            </w:r>
          </w:p>
        </w:tc>
      </w:tr>
      <w:tr w:rsidR="008F1B0C">
        <w:trPr>
          <w:trHeight w:val="540"/>
        </w:trPr>
        <w:tc>
          <w:tcPr>
            <w:tcW w:w="2067" w:type="dxa"/>
            <w:vMerge w:val="restart"/>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分解目标</w:t>
            </w:r>
          </w:p>
        </w:tc>
        <w:tc>
          <w:tcPr>
            <w:tcW w:w="2051" w:type="dxa"/>
            <w:vMerge w:val="restart"/>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决策</w:t>
            </w: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工作计划制定健全性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2022年工作规划和相关制度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中长期规划制定健全性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2022年工作规划和相关制度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绩效指标明确性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明确</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明确</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2022年工作规划和相关制度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绩效目标合理性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合理</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合理</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2022年工作规划和相关制度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预算编制规范性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2022年度部门预算编制</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预算编制科学性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科学</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科学</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2022年度部门预算编制</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restart"/>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过程</w:t>
            </w: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预算管理制度健</w:t>
            </w:r>
            <w:r>
              <w:rPr>
                <w:rFonts w:ascii="宋体" w:hAnsi="宋体" w:cs="宋体" w:hint="eastAsia"/>
                <w:sz w:val="24"/>
              </w:rPr>
              <w:lastRenderedPageBreak/>
              <w:t>全性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lastRenderedPageBreak/>
              <w:t>健全</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学院相关制度</w:t>
            </w:r>
            <w:r>
              <w:rPr>
                <w:rFonts w:ascii="宋体" w:hAnsi="宋体" w:cs="宋体" w:hint="eastAsia"/>
                <w:sz w:val="24"/>
              </w:rPr>
              <w:lastRenderedPageBreak/>
              <w:t>以及内部控制制度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lastRenderedPageBreak/>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资金使用合规性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财务账套以及学院相关制度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绩效管理覆盖率</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2022年度部门预算和财政绩效管理信息系统</w:t>
            </w:r>
          </w:p>
        </w:tc>
        <w:tc>
          <w:tcPr>
            <w:tcW w:w="1787" w:type="dxa"/>
            <w:vAlign w:val="center"/>
          </w:tcPr>
          <w:p w:rsidR="008F1B0C" w:rsidRDefault="00645122">
            <w:pPr>
              <w:spacing w:line="360" w:lineRule="auto"/>
              <w:jc w:val="center"/>
              <w:rPr>
                <w:rFonts w:ascii="宋体" w:hAnsi="宋体" w:cs="宋体"/>
                <w:kern w:val="0"/>
                <w:sz w:val="24"/>
              </w:rPr>
            </w:pPr>
            <w:r>
              <w:rPr>
                <w:rFonts w:ascii="宋体" w:hAnsi="宋体" w:cs="宋体" w:hint="eastAsia"/>
                <w:sz w:val="24"/>
              </w:rPr>
              <w:t>0</w:t>
            </w:r>
            <w:r w:rsidR="008E3A15">
              <w:rPr>
                <w:rFonts w:ascii="宋体" w:hAnsi="宋体" w:cs="宋体" w:hint="eastAsia"/>
                <w:sz w:val="24"/>
              </w:rPr>
              <w:t>%</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非税收入管理合规性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合规</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合规</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财务账套以及学院相关制度以及内控制度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预决算信息公开度</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公开</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公开</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省统一平台和学院门户网站</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基础信息完善性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完善</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完善</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2022年度部门预算</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资产管理规范性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学院财务账套和学院相关制度以及内部控</w:t>
            </w:r>
            <w:r>
              <w:rPr>
                <w:rFonts w:ascii="宋体" w:hAnsi="宋体" w:cs="宋体" w:hint="eastAsia"/>
                <w:sz w:val="24"/>
              </w:rPr>
              <w:lastRenderedPageBreak/>
              <w:t>制制度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lastRenderedPageBreak/>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资产管理制度健全性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学院财务账套和学院相关制度以及内部控制制度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固定资产利用率</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学院财务账套和后勤固定资产管理台账</w:t>
            </w:r>
          </w:p>
        </w:tc>
        <w:tc>
          <w:tcPr>
            <w:tcW w:w="1787" w:type="dxa"/>
            <w:vAlign w:val="center"/>
          </w:tcPr>
          <w:p w:rsidR="008F1B0C" w:rsidRDefault="00645122">
            <w:pPr>
              <w:spacing w:line="360" w:lineRule="auto"/>
              <w:jc w:val="center"/>
              <w:rPr>
                <w:rFonts w:ascii="宋体" w:hAnsi="宋体" w:cs="宋体"/>
                <w:kern w:val="0"/>
                <w:sz w:val="24"/>
              </w:rPr>
            </w:pPr>
            <w:r>
              <w:rPr>
                <w:rFonts w:ascii="宋体" w:hAnsi="宋体" w:cs="宋体" w:hint="eastAsia"/>
                <w:sz w:val="24"/>
              </w:rPr>
              <w:t>0</w:t>
            </w:r>
            <w:r w:rsidR="008E3A15">
              <w:rPr>
                <w:rFonts w:ascii="宋体" w:hAnsi="宋体" w:cs="宋体" w:hint="eastAsia"/>
                <w:sz w:val="24"/>
              </w:rPr>
              <w:t>%</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项目管理制度执行规范性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规范</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规范</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财务账套以及学院相关制度以及内控制度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项目管理制度健全性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学院相关制度以及内部控制制度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人员管理制度执行有效性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学院相关制度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人员管理制度健全性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健全</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健全</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学院相关制度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在职人员控制率</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学院相关制度</w:t>
            </w:r>
          </w:p>
        </w:tc>
        <w:tc>
          <w:tcPr>
            <w:tcW w:w="1787" w:type="dxa"/>
            <w:vAlign w:val="center"/>
          </w:tcPr>
          <w:p w:rsidR="008F1B0C" w:rsidRDefault="00645122">
            <w:pPr>
              <w:spacing w:line="360" w:lineRule="auto"/>
              <w:jc w:val="center"/>
              <w:rPr>
                <w:rFonts w:ascii="宋体" w:hAnsi="宋体" w:cs="宋体"/>
                <w:kern w:val="0"/>
                <w:sz w:val="24"/>
              </w:rPr>
            </w:pPr>
            <w:r>
              <w:rPr>
                <w:rFonts w:ascii="宋体" w:hAnsi="宋体" w:cs="宋体" w:hint="eastAsia"/>
                <w:sz w:val="24"/>
              </w:rPr>
              <w:t>0</w:t>
            </w:r>
            <w:r w:rsidR="008E3A15">
              <w:rPr>
                <w:rFonts w:ascii="宋体" w:hAnsi="宋体" w:cs="宋体" w:hint="eastAsia"/>
                <w:sz w:val="24"/>
              </w:rPr>
              <w:t>%</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业务学习与培训及时完成率</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财务账套和人事档案资料</w:t>
            </w:r>
          </w:p>
        </w:tc>
        <w:tc>
          <w:tcPr>
            <w:tcW w:w="1787" w:type="dxa"/>
            <w:vAlign w:val="center"/>
          </w:tcPr>
          <w:p w:rsidR="008F1B0C" w:rsidRDefault="00645122">
            <w:pPr>
              <w:spacing w:line="360" w:lineRule="auto"/>
              <w:jc w:val="center"/>
              <w:rPr>
                <w:rFonts w:ascii="宋体" w:hAnsi="宋体" w:cs="宋体"/>
                <w:kern w:val="0"/>
                <w:sz w:val="24"/>
              </w:rPr>
            </w:pPr>
            <w:r>
              <w:rPr>
                <w:rFonts w:ascii="宋体" w:hAnsi="宋体" w:cs="宋体" w:hint="eastAsia"/>
                <w:sz w:val="24"/>
              </w:rPr>
              <w:t>0</w:t>
            </w:r>
            <w:r w:rsidR="008E3A15">
              <w:rPr>
                <w:rFonts w:ascii="宋体" w:hAnsi="宋体" w:cs="宋体" w:hint="eastAsia"/>
                <w:sz w:val="24"/>
              </w:rPr>
              <w:t>%</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组织建设工作及时完成率</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组织处相关档案</w:t>
            </w:r>
          </w:p>
        </w:tc>
        <w:tc>
          <w:tcPr>
            <w:tcW w:w="1787" w:type="dxa"/>
            <w:vAlign w:val="center"/>
          </w:tcPr>
          <w:p w:rsidR="008F1B0C" w:rsidRDefault="00645122">
            <w:pPr>
              <w:spacing w:line="360" w:lineRule="auto"/>
              <w:jc w:val="center"/>
              <w:rPr>
                <w:rFonts w:ascii="宋体" w:hAnsi="宋体" w:cs="宋体"/>
                <w:kern w:val="0"/>
                <w:sz w:val="24"/>
              </w:rPr>
            </w:pPr>
            <w:r>
              <w:rPr>
                <w:rFonts w:ascii="宋体" w:hAnsi="宋体" w:cs="宋体" w:hint="eastAsia"/>
                <w:sz w:val="24"/>
              </w:rPr>
              <w:t>0</w:t>
            </w:r>
            <w:r w:rsidR="008E3A15">
              <w:rPr>
                <w:rFonts w:ascii="宋体" w:hAnsi="宋体" w:cs="宋体" w:hint="eastAsia"/>
                <w:sz w:val="24"/>
              </w:rPr>
              <w:t>%</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纪检监察工作有效性</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有效</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有效</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纪检处相关档案</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非税收入预算完成率</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财务账套和财政非税系统</w:t>
            </w:r>
          </w:p>
        </w:tc>
        <w:tc>
          <w:tcPr>
            <w:tcW w:w="1787" w:type="dxa"/>
            <w:vAlign w:val="center"/>
          </w:tcPr>
          <w:p w:rsidR="008F1B0C" w:rsidRDefault="00645122">
            <w:pPr>
              <w:spacing w:line="360" w:lineRule="auto"/>
              <w:jc w:val="center"/>
              <w:rPr>
                <w:rFonts w:ascii="宋体" w:hAnsi="宋体" w:cs="宋体"/>
                <w:kern w:val="0"/>
                <w:sz w:val="24"/>
              </w:rPr>
            </w:pPr>
            <w:r>
              <w:rPr>
                <w:rFonts w:ascii="宋体" w:hAnsi="宋体" w:cs="宋体" w:hint="eastAsia"/>
                <w:sz w:val="24"/>
              </w:rPr>
              <w:t>0</w:t>
            </w:r>
            <w:r w:rsidR="008E3A15">
              <w:rPr>
                <w:rFonts w:ascii="宋体" w:hAnsi="宋体" w:cs="宋体" w:hint="eastAsia"/>
                <w:sz w:val="24"/>
              </w:rPr>
              <w:t>%</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政府采购执行率</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财务账套和财政预算一体化系统</w:t>
            </w:r>
          </w:p>
        </w:tc>
        <w:tc>
          <w:tcPr>
            <w:tcW w:w="1787" w:type="dxa"/>
            <w:vAlign w:val="center"/>
          </w:tcPr>
          <w:p w:rsidR="008F1B0C" w:rsidRDefault="00645122">
            <w:pPr>
              <w:spacing w:line="360" w:lineRule="auto"/>
              <w:jc w:val="center"/>
              <w:rPr>
                <w:rFonts w:ascii="宋体" w:hAnsi="宋体" w:cs="宋体"/>
                <w:kern w:val="0"/>
                <w:sz w:val="24"/>
              </w:rPr>
            </w:pPr>
            <w:r>
              <w:rPr>
                <w:rFonts w:ascii="宋体" w:hAnsi="宋体" w:cs="宋体" w:hint="eastAsia"/>
                <w:sz w:val="24"/>
              </w:rPr>
              <w:t>0</w:t>
            </w:r>
            <w:r w:rsidR="008E3A15">
              <w:rPr>
                <w:rFonts w:ascii="宋体" w:hAnsi="宋体" w:cs="宋体" w:hint="eastAsia"/>
                <w:sz w:val="24"/>
              </w:rPr>
              <w:t>%</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支付进度符合率</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财务账套和决算表</w:t>
            </w:r>
          </w:p>
        </w:tc>
        <w:tc>
          <w:tcPr>
            <w:tcW w:w="1787" w:type="dxa"/>
            <w:vAlign w:val="center"/>
          </w:tcPr>
          <w:p w:rsidR="008F1B0C" w:rsidRDefault="00645122">
            <w:pPr>
              <w:spacing w:line="360" w:lineRule="auto"/>
              <w:jc w:val="center"/>
              <w:rPr>
                <w:rFonts w:ascii="宋体" w:hAnsi="宋体" w:cs="宋体"/>
                <w:kern w:val="0"/>
                <w:sz w:val="24"/>
              </w:rPr>
            </w:pPr>
            <w:r>
              <w:rPr>
                <w:rFonts w:ascii="宋体" w:hAnsi="宋体" w:cs="宋体" w:hint="eastAsia"/>
                <w:sz w:val="24"/>
              </w:rPr>
              <w:t>0</w:t>
            </w:r>
            <w:r w:rsidR="008E3A15">
              <w:rPr>
                <w:rFonts w:ascii="宋体" w:hAnsi="宋体" w:cs="宋体" w:hint="eastAsia"/>
                <w:sz w:val="24"/>
              </w:rPr>
              <w:t>%</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预算调整率</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财务账套和决算表</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预算执行率</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88%</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财务账套和决算表</w:t>
            </w:r>
          </w:p>
        </w:tc>
        <w:tc>
          <w:tcPr>
            <w:tcW w:w="1787" w:type="dxa"/>
            <w:vAlign w:val="center"/>
          </w:tcPr>
          <w:p w:rsidR="008F1B0C" w:rsidRDefault="00645122">
            <w:pPr>
              <w:spacing w:line="360" w:lineRule="auto"/>
              <w:jc w:val="center"/>
              <w:rPr>
                <w:rFonts w:ascii="宋体" w:hAnsi="宋体" w:cs="宋体"/>
                <w:kern w:val="0"/>
                <w:sz w:val="24"/>
              </w:rPr>
            </w:pPr>
            <w:r>
              <w:rPr>
                <w:rFonts w:ascii="宋体" w:hAnsi="宋体" w:cs="宋体" w:hint="eastAsia"/>
                <w:sz w:val="24"/>
              </w:rPr>
              <w:t>-12</w:t>
            </w:r>
            <w:r w:rsidR="008E3A15">
              <w:rPr>
                <w:rFonts w:ascii="宋体" w:hAnsi="宋体" w:cs="宋体" w:hint="eastAsia"/>
                <w:sz w:val="24"/>
              </w:rPr>
              <w:t>%</w:t>
            </w:r>
          </w:p>
        </w:tc>
        <w:tc>
          <w:tcPr>
            <w:tcW w:w="1071" w:type="dxa"/>
          </w:tcPr>
          <w:p w:rsidR="008F1B0C" w:rsidRDefault="008E3A15">
            <w:pPr>
              <w:spacing w:line="360" w:lineRule="auto"/>
              <w:rPr>
                <w:rFonts w:ascii="宋体" w:hAnsi="宋体" w:cs="宋体"/>
                <w:kern w:val="0"/>
                <w:sz w:val="22"/>
              </w:rPr>
            </w:pPr>
            <w:r>
              <w:rPr>
                <w:rFonts w:ascii="宋体" w:hAnsi="宋体" w:cs="宋体" w:hint="eastAsia"/>
                <w:sz w:val="24"/>
              </w:rPr>
              <w:t>2022年1-5月</w:t>
            </w:r>
            <w:r>
              <w:rPr>
                <w:rFonts w:ascii="宋体" w:hAnsi="宋体" w:cs="宋体" w:hint="eastAsia"/>
                <w:sz w:val="24"/>
              </w:rPr>
              <w:lastRenderedPageBreak/>
              <w:t>疫情防控学院被征用做隔离场所，干部培训业务受到影响，预算执行率相应收到影响。</w:t>
            </w: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“三公经费”变动率</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财务账套和决算表</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公用经费控制率</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&lt;=100%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100%</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财务账套和决算表</w:t>
            </w:r>
          </w:p>
        </w:tc>
        <w:tc>
          <w:tcPr>
            <w:tcW w:w="1787" w:type="dxa"/>
            <w:vAlign w:val="center"/>
          </w:tcPr>
          <w:p w:rsidR="008F1B0C" w:rsidRDefault="00645122">
            <w:pPr>
              <w:spacing w:line="360" w:lineRule="auto"/>
              <w:jc w:val="center"/>
              <w:rPr>
                <w:rFonts w:ascii="宋体" w:hAnsi="宋体" w:cs="宋体"/>
                <w:kern w:val="0"/>
                <w:sz w:val="24"/>
              </w:rPr>
            </w:pPr>
            <w:r>
              <w:rPr>
                <w:rFonts w:ascii="宋体" w:hAnsi="宋体" w:cs="宋体" w:hint="eastAsia"/>
                <w:sz w:val="24"/>
              </w:rPr>
              <w:t>0</w:t>
            </w:r>
            <w:r w:rsidR="008E3A15">
              <w:rPr>
                <w:rFonts w:ascii="宋体" w:hAnsi="宋体" w:cs="宋体" w:hint="eastAsia"/>
                <w:sz w:val="24"/>
              </w:rPr>
              <w:t>%</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结转结余率</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财务账套和决算表</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0%</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restart"/>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效益</w:t>
            </w: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汇缴财政预算管理非税收入</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&gt;=2258万元</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2610.56万元</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财务账套和决算表</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15.61%</w:t>
            </w:r>
          </w:p>
        </w:tc>
        <w:tc>
          <w:tcPr>
            <w:tcW w:w="1071" w:type="dxa"/>
          </w:tcPr>
          <w:p w:rsidR="008F1B0C" w:rsidRDefault="008E3A15">
            <w:pPr>
              <w:spacing w:line="360" w:lineRule="auto"/>
              <w:rPr>
                <w:rFonts w:ascii="宋体" w:hAnsi="宋体" w:cs="宋体"/>
                <w:kern w:val="0"/>
                <w:sz w:val="22"/>
              </w:rPr>
            </w:pPr>
            <w:r>
              <w:rPr>
                <w:rFonts w:ascii="宋体" w:hAnsi="宋体" w:cs="宋体" w:hint="eastAsia"/>
                <w:sz w:val="24"/>
              </w:rPr>
              <w:t>学院历年非税全额汇缴财政。</w:t>
            </w: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参加干部培训学员人次</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&gt;=40000人次</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28354人次</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教学培训处相关台账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-29.12%</w:t>
            </w:r>
          </w:p>
        </w:tc>
        <w:tc>
          <w:tcPr>
            <w:tcW w:w="1071" w:type="dxa"/>
          </w:tcPr>
          <w:p w:rsidR="008F1B0C" w:rsidRDefault="008E3A15">
            <w:pPr>
              <w:spacing w:line="360" w:lineRule="auto"/>
              <w:rPr>
                <w:rFonts w:ascii="宋体" w:hAnsi="宋体" w:cs="宋体"/>
                <w:kern w:val="0"/>
                <w:sz w:val="22"/>
              </w:rPr>
            </w:pPr>
            <w:r>
              <w:rPr>
                <w:rFonts w:ascii="宋体" w:hAnsi="宋体" w:cs="宋体" w:hint="eastAsia"/>
                <w:sz w:val="24"/>
              </w:rPr>
              <w:t>2022年1-5月疫情防控学院被征用做隔离场所，干部培训业务受到影响。</w:t>
            </w: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满意度</w:t>
            </w: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培训学员满意度</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&gt;=90%</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90%</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学院科研和质检处质量评估文件</w:t>
            </w:r>
          </w:p>
        </w:tc>
        <w:tc>
          <w:tcPr>
            <w:tcW w:w="1787" w:type="dxa"/>
            <w:vAlign w:val="center"/>
          </w:tcPr>
          <w:p w:rsidR="008F1B0C" w:rsidRDefault="00645122">
            <w:pPr>
              <w:spacing w:line="360" w:lineRule="auto"/>
              <w:jc w:val="center"/>
              <w:rPr>
                <w:rFonts w:ascii="宋体" w:hAnsi="宋体" w:cs="宋体"/>
                <w:kern w:val="0"/>
                <w:sz w:val="24"/>
              </w:rPr>
            </w:pPr>
            <w:r>
              <w:rPr>
                <w:rFonts w:ascii="宋体" w:hAnsi="宋体" w:cs="宋体" w:hint="eastAsia"/>
                <w:sz w:val="24"/>
              </w:rPr>
              <w:t>0</w:t>
            </w:r>
            <w:r w:rsidR="008E3A15">
              <w:rPr>
                <w:rFonts w:ascii="宋体" w:hAnsi="宋体" w:cs="宋体" w:hint="eastAsia"/>
                <w:sz w:val="24"/>
              </w:rPr>
              <w:t>%</w:t>
            </w:r>
          </w:p>
        </w:tc>
        <w:tc>
          <w:tcPr>
            <w:tcW w:w="1071" w:type="dxa"/>
          </w:tcPr>
          <w:p w:rsidR="008F1B0C" w:rsidRDefault="008F1B0C">
            <w:pPr>
              <w:spacing w:line="360" w:lineRule="auto"/>
              <w:rPr>
                <w:rFonts w:ascii="宋体" w:hAnsi="宋体" w:cs="宋体"/>
                <w:kern w:val="0"/>
                <w:sz w:val="22"/>
              </w:rPr>
            </w:pP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restart"/>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履职</w:t>
            </w: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培训班总人天次</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&gt;=40000人次</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28354人次</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教学培训处相关台账</w:t>
            </w:r>
          </w:p>
        </w:tc>
        <w:tc>
          <w:tcPr>
            <w:tcW w:w="17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-29.12%</w:t>
            </w:r>
          </w:p>
        </w:tc>
        <w:tc>
          <w:tcPr>
            <w:tcW w:w="1071" w:type="dxa"/>
          </w:tcPr>
          <w:p w:rsidR="008F1B0C" w:rsidRDefault="008E3A15">
            <w:pPr>
              <w:spacing w:line="360" w:lineRule="auto"/>
              <w:rPr>
                <w:rFonts w:ascii="宋体" w:hAnsi="宋体" w:cs="宋体"/>
                <w:kern w:val="0"/>
                <w:sz w:val="22"/>
              </w:rPr>
            </w:pPr>
            <w:r>
              <w:rPr>
                <w:rFonts w:ascii="宋体" w:hAnsi="宋体" w:cs="宋体" w:hint="eastAsia"/>
                <w:sz w:val="24"/>
              </w:rPr>
              <w:t>2022年1-5月</w:t>
            </w:r>
            <w:r>
              <w:rPr>
                <w:rFonts w:ascii="宋体" w:hAnsi="宋体" w:cs="宋体" w:hint="eastAsia"/>
                <w:sz w:val="24"/>
              </w:rPr>
              <w:lastRenderedPageBreak/>
              <w:t>疫情防控学院被征用做隔离场所，干部培训业务受到影响。</w:t>
            </w:r>
          </w:p>
        </w:tc>
      </w:tr>
      <w:tr w:rsidR="008F1B0C">
        <w:trPr>
          <w:trHeight w:val="540"/>
        </w:trPr>
        <w:tc>
          <w:tcPr>
            <w:tcW w:w="2067" w:type="dxa"/>
            <w:vMerge/>
            <w:vAlign w:val="center"/>
          </w:tcPr>
          <w:p w:rsidR="008F1B0C" w:rsidRDefault="008F1B0C">
            <w:pPr>
              <w:spacing w:line="360" w:lineRule="auto"/>
              <w:jc w:val="center"/>
              <w:rPr>
                <w:rFonts w:ascii="宋体" w:hAnsi="宋体" w:cs="宋体"/>
                <w:kern w:val="0"/>
                <w:sz w:val="24"/>
              </w:rPr>
            </w:pPr>
          </w:p>
        </w:tc>
        <w:tc>
          <w:tcPr>
            <w:tcW w:w="2051" w:type="dxa"/>
            <w:vMerge/>
            <w:vAlign w:val="center"/>
          </w:tcPr>
          <w:p w:rsidR="008F1B0C" w:rsidRDefault="008F1B0C">
            <w:pPr>
              <w:spacing w:line="360" w:lineRule="auto"/>
              <w:jc w:val="center"/>
              <w:rPr>
                <w:rFonts w:ascii="宋体" w:hAnsi="宋体" w:cs="宋体"/>
                <w:kern w:val="0"/>
                <w:sz w:val="24"/>
              </w:rPr>
            </w:pPr>
          </w:p>
        </w:tc>
        <w:tc>
          <w:tcPr>
            <w:tcW w:w="2061"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农情观测点咨政报告</w:t>
            </w:r>
          </w:p>
        </w:tc>
        <w:tc>
          <w:tcPr>
            <w:tcW w:w="1987"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=12篇</w:t>
            </w:r>
          </w:p>
        </w:tc>
        <w:tc>
          <w:tcPr>
            <w:tcW w:w="1799"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12篇</w:t>
            </w:r>
          </w:p>
        </w:tc>
        <w:tc>
          <w:tcPr>
            <w:tcW w:w="1866" w:type="dxa"/>
            <w:vAlign w:val="center"/>
          </w:tcPr>
          <w:p w:rsidR="008F1B0C" w:rsidRDefault="008E3A15">
            <w:pPr>
              <w:spacing w:line="360" w:lineRule="auto"/>
              <w:jc w:val="center"/>
              <w:rPr>
                <w:rFonts w:ascii="宋体" w:hAnsi="宋体" w:cs="宋体"/>
                <w:kern w:val="0"/>
                <w:sz w:val="24"/>
              </w:rPr>
            </w:pPr>
            <w:r>
              <w:rPr>
                <w:rFonts w:ascii="宋体" w:hAnsi="宋体" w:cs="宋体" w:hint="eastAsia"/>
                <w:sz w:val="24"/>
              </w:rPr>
              <w:t>科研和质检处相关报告</w:t>
            </w:r>
          </w:p>
        </w:tc>
        <w:tc>
          <w:tcPr>
            <w:tcW w:w="1787" w:type="dxa"/>
            <w:vAlign w:val="center"/>
          </w:tcPr>
          <w:p w:rsidR="008F1B0C" w:rsidRDefault="00645122">
            <w:pPr>
              <w:spacing w:line="360" w:lineRule="auto"/>
              <w:jc w:val="center"/>
              <w:rPr>
                <w:rFonts w:ascii="宋体" w:hAnsi="宋体" w:cs="宋体"/>
                <w:kern w:val="0"/>
                <w:sz w:val="24"/>
              </w:rPr>
            </w:pPr>
            <w:r>
              <w:rPr>
                <w:rFonts w:ascii="宋体" w:hAnsi="宋体" w:cs="宋体" w:hint="eastAsia"/>
                <w:sz w:val="24"/>
              </w:rPr>
              <w:t>0</w:t>
            </w:r>
            <w:bookmarkStart w:id="0" w:name="_GoBack"/>
            <w:bookmarkEnd w:id="0"/>
            <w:r w:rsidR="008E3A15">
              <w:rPr>
                <w:rFonts w:ascii="宋体" w:hAnsi="宋体" w:cs="宋体" w:hint="eastAsia"/>
                <w:sz w:val="24"/>
              </w:rPr>
              <w:t>%</w:t>
            </w:r>
          </w:p>
        </w:tc>
        <w:tc>
          <w:tcPr>
            <w:tcW w:w="1071" w:type="dxa"/>
          </w:tcPr>
          <w:p w:rsidR="008F1B0C" w:rsidRDefault="008F1B0C">
            <w:pPr>
              <w:spacing w:line="360" w:lineRule="auto"/>
              <w:rPr>
                <w:rFonts w:ascii="宋体" w:hAnsi="宋体" w:cs="宋体"/>
                <w:kern w:val="0"/>
                <w:sz w:val="22"/>
              </w:rPr>
            </w:pPr>
          </w:p>
        </w:tc>
      </w:tr>
    </w:tbl>
    <w:p w:rsidR="008F1B0C" w:rsidRDefault="008F1B0C">
      <w:pPr>
        <w:spacing w:line="360" w:lineRule="auto"/>
        <w:ind w:left="600"/>
        <w:rPr>
          <w:rFonts w:ascii="黑体" w:eastAsia="黑体" w:hAnsi="黑体"/>
          <w:sz w:val="30"/>
        </w:rPr>
      </w:pPr>
    </w:p>
    <w:sectPr w:rsidR="008F1B0C">
      <w:headerReference w:type="default" r:id="rId13"/>
      <w:footerReference w:type="default" r:id="rId14"/>
      <w:pgSz w:w="16840" w:h="11907" w:orient="landscape"/>
      <w:pgMar w:top="1559" w:right="1247" w:bottom="1400" w:left="1089"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478" w:rsidRDefault="00435478">
      <w:r>
        <w:separator/>
      </w:r>
    </w:p>
  </w:endnote>
  <w:endnote w:type="continuationSeparator" w:id="0">
    <w:p w:rsidR="00435478" w:rsidRDefault="0043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0C" w:rsidRDefault="008E3A15">
    <w:pPr>
      <w:pStyle w:val="a4"/>
      <w:framePr w:wrap="around" w:vAnchor="text" w:hAnchor="margin" w:xAlign="center" w:y="1"/>
      <w:rPr>
        <w:rStyle w:val="a7"/>
      </w:rPr>
    </w:pPr>
    <w:r>
      <w:fldChar w:fldCharType="begin"/>
    </w:r>
    <w:r>
      <w:rPr>
        <w:rStyle w:val="a7"/>
      </w:rPr>
      <w:instrText xml:space="preserve">PAGE  </w:instrText>
    </w:r>
    <w:r>
      <w:fldChar w:fldCharType="end"/>
    </w:r>
  </w:p>
  <w:p w:rsidR="008F1B0C" w:rsidRDefault="008F1B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0C" w:rsidRDefault="008E3A15">
    <w:pPr>
      <w:pStyle w:val="a4"/>
      <w:framePr w:wrap="around" w:vAnchor="text" w:hAnchor="margin" w:xAlign="center" w:y="1"/>
      <w:rPr>
        <w:rStyle w:val="a7"/>
      </w:rPr>
    </w:pPr>
    <w:r>
      <w:fldChar w:fldCharType="begin"/>
    </w:r>
    <w:r>
      <w:rPr>
        <w:rStyle w:val="a7"/>
      </w:rPr>
      <w:instrText xml:space="preserve">PAGE  </w:instrText>
    </w:r>
    <w:r>
      <w:fldChar w:fldCharType="separate"/>
    </w:r>
    <w:r w:rsidR="00645122">
      <w:rPr>
        <w:rStyle w:val="a7"/>
        <w:noProof/>
      </w:rPr>
      <w:t>4</w:t>
    </w:r>
    <w:r>
      <w:fldChar w:fldCharType="end"/>
    </w:r>
  </w:p>
  <w:p w:rsidR="008F1B0C" w:rsidRDefault="008F1B0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49" w:rsidRDefault="00007F4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0C" w:rsidRDefault="008E3A15">
    <w:pPr>
      <w:pStyle w:val="a4"/>
      <w:framePr w:wrap="around" w:vAnchor="text" w:hAnchor="margin" w:xAlign="center" w:y="1"/>
      <w:rPr>
        <w:rStyle w:val="a7"/>
      </w:rPr>
    </w:pPr>
    <w:r>
      <w:fldChar w:fldCharType="begin"/>
    </w:r>
    <w:r>
      <w:rPr>
        <w:rStyle w:val="a7"/>
      </w:rPr>
      <w:instrText xml:space="preserve">PAGE  </w:instrText>
    </w:r>
    <w:r>
      <w:fldChar w:fldCharType="separate"/>
    </w:r>
    <w:r w:rsidR="00645122">
      <w:rPr>
        <w:rStyle w:val="a7"/>
        <w:noProof/>
      </w:rPr>
      <w:t>12</w:t>
    </w:r>
    <w:r>
      <w:fldChar w:fldCharType="end"/>
    </w:r>
  </w:p>
  <w:p w:rsidR="008F1B0C" w:rsidRDefault="008F1B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478" w:rsidRDefault="00435478">
      <w:r>
        <w:separator/>
      </w:r>
    </w:p>
  </w:footnote>
  <w:footnote w:type="continuationSeparator" w:id="0">
    <w:p w:rsidR="00435478" w:rsidRDefault="00435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0C" w:rsidRDefault="008F1B0C">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0C" w:rsidRDefault="008F1B0C" w:rsidP="00645122">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49" w:rsidRDefault="00007F4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0C" w:rsidRDefault="008F1B0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BB9F1"/>
    <w:multiLevelType w:val="singleLevel"/>
    <w:tmpl w:val="5D7BB9F1"/>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2ZWIxNzBhOWM3YmNkMjVjMWZjMWQ2NzA4MDFlZmYifQ=="/>
  </w:docVars>
  <w:rsids>
    <w:rsidRoot w:val="00063C33"/>
    <w:rsid w:val="00000AE5"/>
    <w:rsid w:val="0000149B"/>
    <w:rsid w:val="00003466"/>
    <w:rsid w:val="00005172"/>
    <w:rsid w:val="00007F49"/>
    <w:rsid w:val="000100EA"/>
    <w:rsid w:val="000174EF"/>
    <w:rsid w:val="00017B0A"/>
    <w:rsid w:val="00023671"/>
    <w:rsid w:val="00026029"/>
    <w:rsid w:val="000264BF"/>
    <w:rsid w:val="00037A63"/>
    <w:rsid w:val="00040CA6"/>
    <w:rsid w:val="00043B48"/>
    <w:rsid w:val="00052BE5"/>
    <w:rsid w:val="00060137"/>
    <w:rsid w:val="00063750"/>
    <w:rsid w:val="00063C33"/>
    <w:rsid w:val="00063D5B"/>
    <w:rsid w:val="00065156"/>
    <w:rsid w:val="00065B29"/>
    <w:rsid w:val="00067138"/>
    <w:rsid w:val="0006750F"/>
    <w:rsid w:val="000744C4"/>
    <w:rsid w:val="00075453"/>
    <w:rsid w:val="00075D05"/>
    <w:rsid w:val="000822BA"/>
    <w:rsid w:val="000824B9"/>
    <w:rsid w:val="00083E7F"/>
    <w:rsid w:val="000903A9"/>
    <w:rsid w:val="00090A12"/>
    <w:rsid w:val="00091DCD"/>
    <w:rsid w:val="000920AE"/>
    <w:rsid w:val="00096524"/>
    <w:rsid w:val="000A413D"/>
    <w:rsid w:val="000A5944"/>
    <w:rsid w:val="000B00C1"/>
    <w:rsid w:val="000B1FE0"/>
    <w:rsid w:val="000B2275"/>
    <w:rsid w:val="000B2CE5"/>
    <w:rsid w:val="000B5A1C"/>
    <w:rsid w:val="000B7645"/>
    <w:rsid w:val="000C44B7"/>
    <w:rsid w:val="000E5B04"/>
    <w:rsid w:val="000E69D0"/>
    <w:rsid w:val="000E7FBE"/>
    <w:rsid w:val="000F10A1"/>
    <w:rsid w:val="000F2CE9"/>
    <w:rsid w:val="000F5BD7"/>
    <w:rsid w:val="000F6964"/>
    <w:rsid w:val="00100A3B"/>
    <w:rsid w:val="001014B4"/>
    <w:rsid w:val="00104DFE"/>
    <w:rsid w:val="00106E72"/>
    <w:rsid w:val="00113289"/>
    <w:rsid w:val="00113D04"/>
    <w:rsid w:val="00113E8E"/>
    <w:rsid w:val="0011541B"/>
    <w:rsid w:val="0012134D"/>
    <w:rsid w:val="001220BE"/>
    <w:rsid w:val="00125CF2"/>
    <w:rsid w:val="00126E12"/>
    <w:rsid w:val="00130587"/>
    <w:rsid w:val="00130A6B"/>
    <w:rsid w:val="00131B00"/>
    <w:rsid w:val="00132D88"/>
    <w:rsid w:val="00133A9B"/>
    <w:rsid w:val="0013429F"/>
    <w:rsid w:val="001410F0"/>
    <w:rsid w:val="001420CF"/>
    <w:rsid w:val="00143A75"/>
    <w:rsid w:val="00143BA3"/>
    <w:rsid w:val="0014417A"/>
    <w:rsid w:val="001451E1"/>
    <w:rsid w:val="00147FEA"/>
    <w:rsid w:val="0015165E"/>
    <w:rsid w:val="00155CA1"/>
    <w:rsid w:val="001612E1"/>
    <w:rsid w:val="00164523"/>
    <w:rsid w:val="00165B5D"/>
    <w:rsid w:val="001662B4"/>
    <w:rsid w:val="0017063E"/>
    <w:rsid w:val="00177F82"/>
    <w:rsid w:val="001808D8"/>
    <w:rsid w:val="0018270E"/>
    <w:rsid w:val="00182B89"/>
    <w:rsid w:val="00182FC9"/>
    <w:rsid w:val="00190510"/>
    <w:rsid w:val="001A0AFE"/>
    <w:rsid w:val="001A1132"/>
    <w:rsid w:val="001B04B5"/>
    <w:rsid w:val="001B5269"/>
    <w:rsid w:val="001B7A52"/>
    <w:rsid w:val="001C0B83"/>
    <w:rsid w:val="001C31AD"/>
    <w:rsid w:val="001C4669"/>
    <w:rsid w:val="001C64FE"/>
    <w:rsid w:val="001C7FFB"/>
    <w:rsid w:val="001D03A1"/>
    <w:rsid w:val="001D2206"/>
    <w:rsid w:val="001D31D8"/>
    <w:rsid w:val="001D41B6"/>
    <w:rsid w:val="001D785B"/>
    <w:rsid w:val="001D7F4F"/>
    <w:rsid w:val="001E09A5"/>
    <w:rsid w:val="001E11AE"/>
    <w:rsid w:val="001E387E"/>
    <w:rsid w:val="001E4826"/>
    <w:rsid w:val="001E55E3"/>
    <w:rsid w:val="001F0EC7"/>
    <w:rsid w:val="001F1C88"/>
    <w:rsid w:val="001F2939"/>
    <w:rsid w:val="001F3B30"/>
    <w:rsid w:val="001F3BCB"/>
    <w:rsid w:val="00200D3F"/>
    <w:rsid w:val="0020308A"/>
    <w:rsid w:val="00204221"/>
    <w:rsid w:val="00206133"/>
    <w:rsid w:val="00213BC8"/>
    <w:rsid w:val="00216350"/>
    <w:rsid w:val="002166D3"/>
    <w:rsid w:val="00216F1E"/>
    <w:rsid w:val="00217E52"/>
    <w:rsid w:val="00222156"/>
    <w:rsid w:val="00223CA3"/>
    <w:rsid w:val="00227A2B"/>
    <w:rsid w:val="0023035D"/>
    <w:rsid w:val="002340B0"/>
    <w:rsid w:val="00234E4B"/>
    <w:rsid w:val="0023634E"/>
    <w:rsid w:val="002408C3"/>
    <w:rsid w:val="0024113F"/>
    <w:rsid w:val="00244426"/>
    <w:rsid w:val="0024746E"/>
    <w:rsid w:val="0025051E"/>
    <w:rsid w:val="00252592"/>
    <w:rsid w:val="00253D90"/>
    <w:rsid w:val="0025423D"/>
    <w:rsid w:val="00254F9A"/>
    <w:rsid w:val="00257BC2"/>
    <w:rsid w:val="00261488"/>
    <w:rsid w:val="00264AA2"/>
    <w:rsid w:val="00265B16"/>
    <w:rsid w:val="00265DA5"/>
    <w:rsid w:val="002673D0"/>
    <w:rsid w:val="002716BD"/>
    <w:rsid w:val="00273D49"/>
    <w:rsid w:val="00283319"/>
    <w:rsid w:val="00285317"/>
    <w:rsid w:val="0028539D"/>
    <w:rsid w:val="00286629"/>
    <w:rsid w:val="00286702"/>
    <w:rsid w:val="00286D47"/>
    <w:rsid w:val="002900B4"/>
    <w:rsid w:val="00291982"/>
    <w:rsid w:val="00294622"/>
    <w:rsid w:val="002A1D40"/>
    <w:rsid w:val="002A520E"/>
    <w:rsid w:val="002A71E9"/>
    <w:rsid w:val="002A740D"/>
    <w:rsid w:val="002B3130"/>
    <w:rsid w:val="002B46D0"/>
    <w:rsid w:val="002B4938"/>
    <w:rsid w:val="002B4C42"/>
    <w:rsid w:val="002B5C95"/>
    <w:rsid w:val="002B7826"/>
    <w:rsid w:val="002B7DA5"/>
    <w:rsid w:val="002C14BC"/>
    <w:rsid w:val="002C40C2"/>
    <w:rsid w:val="002C50BE"/>
    <w:rsid w:val="002C58CE"/>
    <w:rsid w:val="002C6932"/>
    <w:rsid w:val="002D37C3"/>
    <w:rsid w:val="002D39F6"/>
    <w:rsid w:val="002E02D4"/>
    <w:rsid w:val="002E3E46"/>
    <w:rsid w:val="002E6262"/>
    <w:rsid w:val="002F2F89"/>
    <w:rsid w:val="002F3573"/>
    <w:rsid w:val="002F79DA"/>
    <w:rsid w:val="003023BE"/>
    <w:rsid w:val="003047D9"/>
    <w:rsid w:val="00304E50"/>
    <w:rsid w:val="0031251A"/>
    <w:rsid w:val="00313B31"/>
    <w:rsid w:val="00313C95"/>
    <w:rsid w:val="00314B04"/>
    <w:rsid w:val="003205DD"/>
    <w:rsid w:val="003212A4"/>
    <w:rsid w:val="00321645"/>
    <w:rsid w:val="003224A9"/>
    <w:rsid w:val="00323407"/>
    <w:rsid w:val="00324653"/>
    <w:rsid w:val="00325446"/>
    <w:rsid w:val="003255FE"/>
    <w:rsid w:val="00327EE2"/>
    <w:rsid w:val="00330CB3"/>
    <w:rsid w:val="00332C74"/>
    <w:rsid w:val="00335FCC"/>
    <w:rsid w:val="00336C7D"/>
    <w:rsid w:val="00342E62"/>
    <w:rsid w:val="00343C7E"/>
    <w:rsid w:val="0034643F"/>
    <w:rsid w:val="00346D0D"/>
    <w:rsid w:val="00350DCA"/>
    <w:rsid w:val="00350EF3"/>
    <w:rsid w:val="00351E9C"/>
    <w:rsid w:val="00353E46"/>
    <w:rsid w:val="00354DA3"/>
    <w:rsid w:val="0035535B"/>
    <w:rsid w:val="003557CD"/>
    <w:rsid w:val="00355802"/>
    <w:rsid w:val="00362F2E"/>
    <w:rsid w:val="00365C54"/>
    <w:rsid w:val="003700B6"/>
    <w:rsid w:val="00370935"/>
    <w:rsid w:val="00371DB2"/>
    <w:rsid w:val="003729B0"/>
    <w:rsid w:val="00373041"/>
    <w:rsid w:val="003753A8"/>
    <w:rsid w:val="003831C1"/>
    <w:rsid w:val="00393CB1"/>
    <w:rsid w:val="003A5262"/>
    <w:rsid w:val="003B2F39"/>
    <w:rsid w:val="003B3410"/>
    <w:rsid w:val="003B36E9"/>
    <w:rsid w:val="003B6092"/>
    <w:rsid w:val="003C042E"/>
    <w:rsid w:val="003C06AC"/>
    <w:rsid w:val="003C1186"/>
    <w:rsid w:val="003C391B"/>
    <w:rsid w:val="003C4D46"/>
    <w:rsid w:val="003D01B1"/>
    <w:rsid w:val="003D0B70"/>
    <w:rsid w:val="003D72AD"/>
    <w:rsid w:val="003D7F91"/>
    <w:rsid w:val="003E2A48"/>
    <w:rsid w:val="003E2F63"/>
    <w:rsid w:val="003E65CC"/>
    <w:rsid w:val="003E6D22"/>
    <w:rsid w:val="003F2293"/>
    <w:rsid w:val="00400243"/>
    <w:rsid w:val="00405CA6"/>
    <w:rsid w:val="00410C77"/>
    <w:rsid w:val="00411D37"/>
    <w:rsid w:val="00424485"/>
    <w:rsid w:val="004257E1"/>
    <w:rsid w:val="00425AA3"/>
    <w:rsid w:val="004305C8"/>
    <w:rsid w:val="0043312C"/>
    <w:rsid w:val="00435478"/>
    <w:rsid w:val="00436533"/>
    <w:rsid w:val="00436EC1"/>
    <w:rsid w:val="004403E7"/>
    <w:rsid w:val="004423E2"/>
    <w:rsid w:val="00445706"/>
    <w:rsid w:val="0045004A"/>
    <w:rsid w:val="004545F2"/>
    <w:rsid w:val="00454BDA"/>
    <w:rsid w:val="00457C9A"/>
    <w:rsid w:val="004611B1"/>
    <w:rsid w:val="0046258B"/>
    <w:rsid w:val="00466701"/>
    <w:rsid w:val="00471F88"/>
    <w:rsid w:val="00473304"/>
    <w:rsid w:val="00475B06"/>
    <w:rsid w:val="00476840"/>
    <w:rsid w:val="0048152F"/>
    <w:rsid w:val="0048585A"/>
    <w:rsid w:val="0048750F"/>
    <w:rsid w:val="0049066C"/>
    <w:rsid w:val="004912EF"/>
    <w:rsid w:val="004974D1"/>
    <w:rsid w:val="004A1580"/>
    <w:rsid w:val="004A19DD"/>
    <w:rsid w:val="004B0052"/>
    <w:rsid w:val="004B44B5"/>
    <w:rsid w:val="004C13D9"/>
    <w:rsid w:val="004C156B"/>
    <w:rsid w:val="004C1CE2"/>
    <w:rsid w:val="004C51FC"/>
    <w:rsid w:val="004C5BAD"/>
    <w:rsid w:val="004D5319"/>
    <w:rsid w:val="004D797B"/>
    <w:rsid w:val="004E0982"/>
    <w:rsid w:val="004E1DF7"/>
    <w:rsid w:val="004E2D60"/>
    <w:rsid w:val="004E2E62"/>
    <w:rsid w:val="004E3248"/>
    <w:rsid w:val="004E5392"/>
    <w:rsid w:val="004E73A7"/>
    <w:rsid w:val="004F030E"/>
    <w:rsid w:val="004F2DA8"/>
    <w:rsid w:val="004F4FE5"/>
    <w:rsid w:val="004F6112"/>
    <w:rsid w:val="004F6658"/>
    <w:rsid w:val="004F6BFF"/>
    <w:rsid w:val="004F71AE"/>
    <w:rsid w:val="00501E97"/>
    <w:rsid w:val="005038C9"/>
    <w:rsid w:val="00506E8C"/>
    <w:rsid w:val="00506FCF"/>
    <w:rsid w:val="0051294C"/>
    <w:rsid w:val="00512A8D"/>
    <w:rsid w:val="00521013"/>
    <w:rsid w:val="00526943"/>
    <w:rsid w:val="005314A7"/>
    <w:rsid w:val="00532870"/>
    <w:rsid w:val="005428EE"/>
    <w:rsid w:val="00543724"/>
    <w:rsid w:val="0054645B"/>
    <w:rsid w:val="00552B33"/>
    <w:rsid w:val="00553660"/>
    <w:rsid w:val="00553EB2"/>
    <w:rsid w:val="00556E4F"/>
    <w:rsid w:val="00560776"/>
    <w:rsid w:val="00560AFC"/>
    <w:rsid w:val="00560EAF"/>
    <w:rsid w:val="005619A3"/>
    <w:rsid w:val="00562503"/>
    <w:rsid w:val="0056664B"/>
    <w:rsid w:val="00567693"/>
    <w:rsid w:val="00570911"/>
    <w:rsid w:val="005723D7"/>
    <w:rsid w:val="005755EB"/>
    <w:rsid w:val="005757F7"/>
    <w:rsid w:val="0058037E"/>
    <w:rsid w:val="00581411"/>
    <w:rsid w:val="005817F6"/>
    <w:rsid w:val="00593238"/>
    <w:rsid w:val="00597885"/>
    <w:rsid w:val="005A0674"/>
    <w:rsid w:val="005A3838"/>
    <w:rsid w:val="005A3AA9"/>
    <w:rsid w:val="005A3AE6"/>
    <w:rsid w:val="005A3EAE"/>
    <w:rsid w:val="005A4A49"/>
    <w:rsid w:val="005A71F3"/>
    <w:rsid w:val="005A7726"/>
    <w:rsid w:val="005A77D3"/>
    <w:rsid w:val="005B0AE0"/>
    <w:rsid w:val="005B2146"/>
    <w:rsid w:val="005B2738"/>
    <w:rsid w:val="005B2C2E"/>
    <w:rsid w:val="005B3560"/>
    <w:rsid w:val="005B48B6"/>
    <w:rsid w:val="005B4B41"/>
    <w:rsid w:val="005B529F"/>
    <w:rsid w:val="005B612C"/>
    <w:rsid w:val="005B6B32"/>
    <w:rsid w:val="005B77DD"/>
    <w:rsid w:val="005C09F8"/>
    <w:rsid w:val="005C1A18"/>
    <w:rsid w:val="005C1BD8"/>
    <w:rsid w:val="005C2E63"/>
    <w:rsid w:val="005C5E8E"/>
    <w:rsid w:val="005C65E4"/>
    <w:rsid w:val="005D11F6"/>
    <w:rsid w:val="005D1D0B"/>
    <w:rsid w:val="005D72E3"/>
    <w:rsid w:val="005E0E7F"/>
    <w:rsid w:val="005E5A79"/>
    <w:rsid w:val="005F1482"/>
    <w:rsid w:val="005F1E3B"/>
    <w:rsid w:val="0060449D"/>
    <w:rsid w:val="00610F23"/>
    <w:rsid w:val="00613019"/>
    <w:rsid w:val="00621622"/>
    <w:rsid w:val="006226C5"/>
    <w:rsid w:val="00622FB6"/>
    <w:rsid w:val="0062351F"/>
    <w:rsid w:val="00625CE4"/>
    <w:rsid w:val="00631623"/>
    <w:rsid w:val="006316FF"/>
    <w:rsid w:val="00633F34"/>
    <w:rsid w:val="006346F2"/>
    <w:rsid w:val="00642FA5"/>
    <w:rsid w:val="00643E54"/>
    <w:rsid w:val="00645122"/>
    <w:rsid w:val="006520DA"/>
    <w:rsid w:val="00652414"/>
    <w:rsid w:val="0066087C"/>
    <w:rsid w:val="00665D96"/>
    <w:rsid w:val="00672C67"/>
    <w:rsid w:val="006733B9"/>
    <w:rsid w:val="006777F4"/>
    <w:rsid w:val="00680C37"/>
    <w:rsid w:val="0068235A"/>
    <w:rsid w:val="00691F14"/>
    <w:rsid w:val="00695B4B"/>
    <w:rsid w:val="006A242C"/>
    <w:rsid w:val="006A3E01"/>
    <w:rsid w:val="006A4842"/>
    <w:rsid w:val="006A5F11"/>
    <w:rsid w:val="006B46FE"/>
    <w:rsid w:val="006B5B10"/>
    <w:rsid w:val="006C0BED"/>
    <w:rsid w:val="006C1512"/>
    <w:rsid w:val="006C5E14"/>
    <w:rsid w:val="006E199D"/>
    <w:rsid w:val="006E2154"/>
    <w:rsid w:val="006E526F"/>
    <w:rsid w:val="006F2F60"/>
    <w:rsid w:val="006F4261"/>
    <w:rsid w:val="006F5BB5"/>
    <w:rsid w:val="006F63F7"/>
    <w:rsid w:val="006F7720"/>
    <w:rsid w:val="00700D51"/>
    <w:rsid w:val="00701E4E"/>
    <w:rsid w:val="00703AAD"/>
    <w:rsid w:val="00704126"/>
    <w:rsid w:val="00704DC6"/>
    <w:rsid w:val="00706525"/>
    <w:rsid w:val="00707621"/>
    <w:rsid w:val="007171E1"/>
    <w:rsid w:val="00717422"/>
    <w:rsid w:val="00722137"/>
    <w:rsid w:val="00723710"/>
    <w:rsid w:val="00733427"/>
    <w:rsid w:val="00735573"/>
    <w:rsid w:val="00737F68"/>
    <w:rsid w:val="007424E1"/>
    <w:rsid w:val="00742D87"/>
    <w:rsid w:val="00751DC9"/>
    <w:rsid w:val="0075565C"/>
    <w:rsid w:val="007605DC"/>
    <w:rsid w:val="00761F62"/>
    <w:rsid w:val="00762C18"/>
    <w:rsid w:val="00766FB7"/>
    <w:rsid w:val="00772348"/>
    <w:rsid w:val="00772510"/>
    <w:rsid w:val="00773A1D"/>
    <w:rsid w:val="00773F42"/>
    <w:rsid w:val="00774264"/>
    <w:rsid w:val="00775445"/>
    <w:rsid w:val="00780EE2"/>
    <w:rsid w:val="007840FE"/>
    <w:rsid w:val="00784F8B"/>
    <w:rsid w:val="007871EE"/>
    <w:rsid w:val="00793E08"/>
    <w:rsid w:val="00794A76"/>
    <w:rsid w:val="00795D56"/>
    <w:rsid w:val="007962F0"/>
    <w:rsid w:val="00797D92"/>
    <w:rsid w:val="007A0919"/>
    <w:rsid w:val="007A097F"/>
    <w:rsid w:val="007A4200"/>
    <w:rsid w:val="007B3DD4"/>
    <w:rsid w:val="007B5103"/>
    <w:rsid w:val="007B61B8"/>
    <w:rsid w:val="007B6A00"/>
    <w:rsid w:val="007C0D3D"/>
    <w:rsid w:val="007C31AE"/>
    <w:rsid w:val="007C36CD"/>
    <w:rsid w:val="007C3C87"/>
    <w:rsid w:val="007C3D16"/>
    <w:rsid w:val="007C47E4"/>
    <w:rsid w:val="007C4FF4"/>
    <w:rsid w:val="007D2436"/>
    <w:rsid w:val="007D2B3D"/>
    <w:rsid w:val="007D444F"/>
    <w:rsid w:val="007D4E58"/>
    <w:rsid w:val="007D56C8"/>
    <w:rsid w:val="007D7F00"/>
    <w:rsid w:val="007E1CCC"/>
    <w:rsid w:val="007E459A"/>
    <w:rsid w:val="007E4929"/>
    <w:rsid w:val="007E720E"/>
    <w:rsid w:val="007E72F0"/>
    <w:rsid w:val="007F009F"/>
    <w:rsid w:val="007F0BF3"/>
    <w:rsid w:val="007F0D47"/>
    <w:rsid w:val="007F2B03"/>
    <w:rsid w:val="007F33BC"/>
    <w:rsid w:val="007F6C9D"/>
    <w:rsid w:val="00800BE6"/>
    <w:rsid w:val="0080256D"/>
    <w:rsid w:val="00802E22"/>
    <w:rsid w:val="00812702"/>
    <w:rsid w:val="0081659F"/>
    <w:rsid w:val="008165F1"/>
    <w:rsid w:val="008235B6"/>
    <w:rsid w:val="008329A5"/>
    <w:rsid w:val="00832C53"/>
    <w:rsid w:val="008353A0"/>
    <w:rsid w:val="00846B19"/>
    <w:rsid w:val="008509A5"/>
    <w:rsid w:val="008521F8"/>
    <w:rsid w:val="00852E79"/>
    <w:rsid w:val="008550E4"/>
    <w:rsid w:val="00855CA7"/>
    <w:rsid w:val="00855F3C"/>
    <w:rsid w:val="00857998"/>
    <w:rsid w:val="00862373"/>
    <w:rsid w:val="008702C7"/>
    <w:rsid w:val="008814B7"/>
    <w:rsid w:val="00882EDF"/>
    <w:rsid w:val="008855D8"/>
    <w:rsid w:val="00885B43"/>
    <w:rsid w:val="00885EDD"/>
    <w:rsid w:val="00891909"/>
    <w:rsid w:val="0089196E"/>
    <w:rsid w:val="00894546"/>
    <w:rsid w:val="008956AE"/>
    <w:rsid w:val="008962B9"/>
    <w:rsid w:val="008B27AB"/>
    <w:rsid w:val="008B474A"/>
    <w:rsid w:val="008B4752"/>
    <w:rsid w:val="008C0F7F"/>
    <w:rsid w:val="008C19A0"/>
    <w:rsid w:val="008C5F52"/>
    <w:rsid w:val="008D1294"/>
    <w:rsid w:val="008D4748"/>
    <w:rsid w:val="008D493B"/>
    <w:rsid w:val="008E15CC"/>
    <w:rsid w:val="008E3A15"/>
    <w:rsid w:val="008E5F67"/>
    <w:rsid w:val="008E7EF2"/>
    <w:rsid w:val="008F0D75"/>
    <w:rsid w:val="008F1B0C"/>
    <w:rsid w:val="00912649"/>
    <w:rsid w:val="009141CE"/>
    <w:rsid w:val="00914978"/>
    <w:rsid w:val="0092032F"/>
    <w:rsid w:val="00921CBB"/>
    <w:rsid w:val="009220F6"/>
    <w:rsid w:val="00923540"/>
    <w:rsid w:val="009238C5"/>
    <w:rsid w:val="00926CE3"/>
    <w:rsid w:val="00927493"/>
    <w:rsid w:val="00930153"/>
    <w:rsid w:val="00936842"/>
    <w:rsid w:val="00944770"/>
    <w:rsid w:val="00950C79"/>
    <w:rsid w:val="00952E84"/>
    <w:rsid w:val="00952F21"/>
    <w:rsid w:val="00954DE5"/>
    <w:rsid w:val="00956D46"/>
    <w:rsid w:val="00957FE6"/>
    <w:rsid w:val="00961F56"/>
    <w:rsid w:val="00973D9E"/>
    <w:rsid w:val="00973DF8"/>
    <w:rsid w:val="00975B93"/>
    <w:rsid w:val="009803F9"/>
    <w:rsid w:val="00981623"/>
    <w:rsid w:val="0098375F"/>
    <w:rsid w:val="0098511D"/>
    <w:rsid w:val="00985485"/>
    <w:rsid w:val="00986075"/>
    <w:rsid w:val="00991298"/>
    <w:rsid w:val="00991A54"/>
    <w:rsid w:val="009932BD"/>
    <w:rsid w:val="009934FA"/>
    <w:rsid w:val="00994166"/>
    <w:rsid w:val="009A14E2"/>
    <w:rsid w:val="009B00C3"/>
    <w:rsid w:val="009B0CBC"/>
    <w:rsid w:val="009C0139"/>
    <w:rsid w:val="009C0E57"/>
    <w:rsid w:val="009C2F7D"/>
    <w:rsid w:val="009C55FF"/>
    <w:rsid w:val="009D6A3C"/>
    <w:rsid w:val="009D6EB2"/>
    <w:rsid w:val="009E3332"/>
    <w:rsid w:val="009E41C3"/>
    <w:rsid w:val="009E761C"/>
    <w:rsid w:val="009F0156"/>
    <w:rsid w:val="009F0F45"/>
    <w:rsid w:val="009F1E08"/>
    <w:rsid w:val="009F33A3"/>
    <w:rsid w:val="009F5379"/>
    <w:rsid w:val="009F698B"/>
    <w:rsid w:val="00A0033D"/>
    <w:rsid w:val="00A03EC8"/>
    <w:rsid w:val="00A0604C"/>
    <w:rsid w:val="00A11B0D"/>
    <w:rsid w:val="00A120BD"/>
    <w:rsid w:val="00A176AA"/>
    <w:rsid w:val="00A205D5"/>
    <w:rsid w:val="00A239B4"/>
    <w:rsid w:val="00A23D5F"/>
    <w:rsid w:val="00A25AFF"/>
    <w:rsid w:val="00A32DC9"/>
    <w:rsid w:val="00A33349"/>
    <w:rsid w:val="00A33FE6"/>
    <w:rsid w:val="00A44D43"/>
    <w:rsid w:val="00A452D2"/>
    <w:rsid w:val="00A470EC"/>
    <w:rsid w:val="00A50C4A"/>
    <w:rsid w:val="00A50F78"/>
    <w:rsid w:val="00A51224"/>
    <w:rsid w:val="00A5755C"/>
    <w:rsid w:val="00A63E56"/>
    <w:rsid w:val="00A66FD8"/>
    <w:rsid w:val="00A670EA"/>
    <w:rsid w:val="00A7100E"/>
    <w:rsid w:val="00A71A98"/>
    <w:rsid w:val="00A7291A"/>
    <w:rsid w:val="00A7417E"/>
    <w:rsid w:val="00A819B1"/>
    <w:rsid w:val="00A9009D"/>
    <w:rsid w:val="00A9242A"/>
    <w:rsid w:val="00A92BC1"/>
    <w:rsid w:val="00AA28F0"/>
    <w:rsid w:val="00AA2C54"/>
    <w:rsid w:val="00AA3EF4"/>
    <w:rsid w:val="00AA65DC"/>
    <w:rsid w:val="00AA7CBC"/>
    <w:rsid w:val="00AB36D0"/>
    <w:rsid w:val="00AB4CA0"/>
    <w:rsid w:val="00AB59CA"/>
    <w:rsid w:val="00AB60CB"/>
    <w:rsid w:val="00AC0C78"/>
    <w:rsid w:val="00AC175C"/>
    <w:rsid w:val="00AC4BC5"/>
    <w:rsid w:val="00AC6896"/>
    <w:rsid w:val="00AD4ACE"/>
    <w:rsid w:val="00AD4BAD"/>
    <w:rsid w:val="00AD5676"/>
    <w:rsid w:val="00AD5886"/>
    <w:rsid w:val="00AD6E3F"/>
    <w:rsid w:val="00AE08D5"/>
    <w:rsid w:val="00AE3466"/>
    <w:rsid w:val="00AF1471"/>
    <w:rsid w:val="00AF36BF"/>
    <w:rsid w:val="00AF53EC"/>
    <w:rsid w:val="00AF647B"/>
    <w:rsid w:val="00B010E5"/>
    <w:rsid w:val="00B048AA"/>
    <w:rsid w:val="00B13870"/>
    <w:rsid w:val="00B1500D"/>
    <w:rsid w:val="00B1629F"/>
    <w:rsid w:val="00B1672F"/>
    <w:rsid w:val="00B30486"/>
    <w:rsid w:val="00B3494F"/>
    <w:rsid w:val="00B427DC"/>
    <w:rsid w:val="00B44119"/>
    <w:rsid w:val="00B4671F"/>
    <w:rsid w:val="00B50F62"/>
    <w:rsid w:val="00B55AA4"/>
    <w:rsid w:val="00B60779"/>
    <w:rsid w:val="00B61496"/>
    <w:rsid w:val="00B63E05"/>
    <w:rsid w:val="00B66717"/>
    <w:rsid w:val="00B67AA7"/>
    <w:rsid w:val="00B72669"/>
    <w:rsid w:val="00B76DF4"/>
    <w:rsid w:val="00B76EEF"/>
    <w:rsid w:val="00B776C1"/>
    <w:rsid w:val="00B867D1"/>
    <w:rsid w:val="00B92977"/>
    <w:rsid w:val="00B92987"/>
    <w:rsid w:val="00B9437F"/>
    <w:rsid w:val="00B96073"/>
    <w:rsid w:val="00B962B5"/>
    <w:rsid w:val="00B968F0"/>
    <w:rsid w:val="00B96DB3"/>
    <w:rsid w:val="00BA2D4B"/>
    <w:rsid w:val="00BA3FBD"/>
    <w:rsid w:val="00BA7F8D"/>
    <w:rsid w:val="00BB48CE"/>
    <w:rsid w:val="00BB4CED"/>
    <w:rsid w:val="00BB57BA"/>
    <w:rsid w:val="00BB67B3"/>
    <w:rsid w:val="00BC3CDC"/>
    <w:rsid w:val="00BC4382"/>
    <w:rsid w:val="00BC5D5E"/>
    <w:rsid w:val="00BC6D9B"/>
    <w:rsid w:val="00BC7D69"/>
    <w:rsid w:val="00BC7FC3"/>
    <w:rsid w:val="00BD5B4F"/>
    <w:rsid w:val="00BD7B20"/>
    <w:rsid w:val="00BE4D46"/>
    <w:rsid w:val="00BE4D54"/>
    <w:rsid w:val="00BE72CC"/>
    <w:rsid w:val="00BF0580"/>
    <w:rsid w:val="00BF185A"/>
    <w:rsid w:val="00BF2DD0"/>
    <w:rsid w:val="00C01970"/>
    <w:rsid w:val="00C032A0"/>
    <w:rsid w:val="00C05C98"/>
    <w:rsid w:val="00C06939"/>
    <w:rsid w:val="00C0782F"/>
    <w:rsid w:val="00C20DBD"/>
    <w:rsid w:val="00C246E2"/>
    <w:rsid w:val="00C24BCF"/>
    <w:rsid w:val="00C27505"/>
    <w:rsid w:val="00C30F82"/>
    <w:rsid w:val="00C35EEA"/>
    <w:rsid w:val="00C40F18"/>
    <w:rsid w:val="00C41F0D"/>
    <w:rsid w:val="00C42F38"/>
    <w:rsid w:val="00C5033A"/>
    <w:rsid w:val="00C50B8F"/>
    <w:rsid w:val="00C525DF"/>
    <w:rsid w:val="00C52DB2"/>
    <w:rsid w:val="00C546DD"/>
    <w:rsid w:val="00C54918"/>
    <w:rsid w:val="00C553C3"/>
    <w:rsid w:val="00C64A12"/>
    <w:rsid w:val="00C650DE"/>
    <w:rsid w:val="00C66303"/>
    <w:rsid w:val="00C66BB9"/>
    <w:rsid w:val="00C7017C"/>
    <w:rsid w:val="00C73986"/>
    <w:rsid w:val="00C7746B"/>
    <w:rsid w:val="00C77C77"/>
    <w:rsid w:val="00C8105F"/>
    <w:rsid w:val="00C81379"/>
    <w:rsid w:val="00C816B2"/>
    <w:rsid w:val="00C81970"/>
    <w:rsid w:val="00C87101"/>
    <w:rsid w:val="00C94D24"/>
    <w:rsid w:val="00C967CD"/>
    <w:rsid w:val="00CA0B2C"/>
    <w:rsid w:val="00CA1024"/>
    <w:rsid w:val="00CA290E"/>
    <w:rsid w:val="00CA3A89"/>
    <w:rsid w:val="00CA4EA9"/>
    <w:rsid w:val="00CB2ED2"/>
    <w:rsid w:val="00CB5DCB"/>
    <w:rsid w:val="00CC0015"/>
    <w:rsid w:val="00CC263F"/>
    <w:rsid w:val="00CD2C52"/>
    <w:rsid w:val="00CD602C"/>
    <w:rsid w:val="00CD62C1"/>
    <w:rsid w:val="00CD7481"/>
    <w:rsid w:val="00CE2A66"/>
    <w:rsid w:val="00CE375B"/>
    <w:rsid w:val="00CE7232"/>
    <w:rsid w:val="00CE79D7"/>
    <w:rsid w:val="00CF1C01"/>
    <w:rsid w:val="00CF390A"/>
    <w:rsid w:val="00D023CF"/>
    <w:rsid w:val="00D043F3"/>
    <w:rsid w:val="00D11F90"/>
    <w:rsid w:val="00D126D3"/>
    <w:rsid w:val="00D12DF6"/>
    <w:rsid w:val="00D21546"/>
    <w:rsid w:val="00D22A0E"/>
    <w:rsid w:val="00D241C5"/>
    <w:rsid w:val="00D24F9A"/>
    <w:rsid w:val="00D25230"/>
    <w:rsid w:val="00D345C2"/>
    <w:rsid w:val="00D35886"/>
    <w:rsid w:val="00D37A72"/>
    <w:rsid w:val="00D41BFE"/>
    <w:rsid w:val="00D42B90"/>
    <w:rsid w:val="00D520F5"/>
    <w:rsid w:val="00D5213E"/>
    <w:rsid w:val="00D52723"/>
    <w:rsid w:val="00D530E5"/>
    <w:rsid w:val="00D54714"/>
    <w:rsid w:val="00D604F2"/>
    <w:rsid w:val="00D658CF"/>
    <w:rsid w:val="00D74542"/>
    <w:rsid w:val="00D74D35"/>
    <w:rsid w:val="00D77B41"/>
    <w:rsid w:val="00D80278"/>
    <w:rsid w:val="00D81180"/>
    <w:rsid w:val="00D9349A"/>
    <w:rsid w:val="00DA0D5E"/>
    <w:rsid w:val="00DA16AA"/>
    <w:rsid w:val="00DA30BF"/>
    <w:rsid w:val="00DA3FE8"/>
    <w:rsid w:val="00DA50C9"/>
    <w:rsid w:val="00DB1CEE"/>
    <w:rsid w:val="00DB3E9E"/>
    <w:rsid w:val="00DB591E"/>
    <w:rsid w:val="00DC30C9"/>
    <w:rsid w:val="00DD0D6E"/>
    <w:rsid w:val="00DD18CE"/>
    <w:rsid w:val="00DD1A16"/>
    <w:rsid w:val="00DD42EC"/>
    <w:rsid w:val="00DE0681"/>
    <w:rsid w:val="00DE5FDB"/>
    <w:rsid w:val="00DF0128"/>
    <w:rsid w:val="00DF2564"/>
    <w:rsid w:val="00DF2DC2"/>
    <w:rsid w:val="00DF5F9F"/>
    <w:rsid w:val="00E012CA"/>
    <w:rsid w:val="00E04A97"/>
    <w:rsid w:val="00E05A01"/>
    <w:rsid w:val="00E20678"/>
    <w:rsid w:val="00E23D9D"/>
    <w:rsid w:val="00E30145"/>
    <w:rsid w:val="00E32CDA"/>
    <w:rsid w:val="00E42B8D"/>
    <w:rsid w:val="00E42DFA"/>
    <w:rsid w:val="00E45770"/>
    <w:rsid w:val="00E520D2"/>
    <w:rsid w:val="00E52F69"/>
    <w:rsid w:val="00E55C18"/>
    <w:rsid w:val="00E6288B"/>
    <w:rsid w:val="00E638E7"/>
    <w:rsid w:val="00E65313"/>
    <w:rsid w:val="00E702FB"/>
    <w:rsid w:val="00E71137"/>
    <w:rsid w:val="00E72EC0"/>
    <w:rsid w:val="00E750D4"/>
    <w:rsid w:val="00E767B8"/>
    <w:rsid w:val="00E808C9"/>
    <w:rsid w:val="00E8326A"/>
    <w:rsid w:val="00E91974"/>
    <w:rsid w:val="00E9307D"/>
    <w:rsid w:val="00E96C5B"/>
    <w:rsid w:val="00EA10FE"/>
    <w:rsid w:val="00EA17F8"/>
    <w:rsid w:val="00EA5CFD"/>
    <w:rsid w:val="00EB0631"/>
    <w:rsid w:val="00EB09CB"/>
    <w:rsid w:val="00EB3C5A"/>
    <w:rsid w:val="00EB3D74"/>
    <w:rsid w:val="00EC0B6B"/>
    <w:rsid w:val="00EC1538"/>
    <w:rsid w:val="00EC3057"/>
    <w:rsid w:val="00ED0F91"/>
    <w:rsid w:val="00ED2DB3"/>
    <w:rsid w:val="00ED3D82"/>
    <w:rsid w:val="00ED4051"/>
    <w:rsid w:val="00ED4F45"/>
    <w:rsid w:val="00ED746E"/>
    <w:rsid w:val="00EE1598"/>
    <w:rsid w:val="00EE262B"/>
    <w:rsid w:val="00EE31D1"/>
    <w:rsid w:val="00EE664B"/>
    <w:rsid w:val="00EE68D1"/>
    <w:rsid w:val="00EE714E"/>
    <w:rsid w:val="00EF32F9"/>
    <w:rsid w:val="00EF57A8"/>
    <w:rsid w:val="00EF5B65"/>
    <w:rsid w:val="00EF6352"/>
    <w:rsid w:val="00EF79CB"/>
    <w:rsid w:val="00EF7E0B"/>
    <w:rsid w:val="00F007E2"/>
    <w:rsid w:val="00F00D24"/>
    <w:rsid w:val="00F02180"/>
    <w:rsid w:val="00F026BD"/>
    <w:rsid w:val="00F06630"/>
    <w:rsid w:val="00F156D9"/>
    <w:rsid w:val="00F1602D"/>
    <w:rsid w:val="00F22B29"/>
    <w:rsid w:val="00F235BF"/>
    <w:rsid w:val="00F2564B"/>
    <w:rsid w:val="00F2628D"/>
    <w:rsid w:val="00F27DBF"/>
    <w:rsid w:val="00F300F5"/>
    <w:rsid w:val="00F311F9"/>
    <w:rsid w:val="00F355E6"/>
    <w:rsid w:val="00F35FE4"/>
    <w:rsid w:val="00F401E7"/>
    <w:rsid w:val="00F407B4"/>
    <w:rsid w:val="00F43CA4"/>
    <w:rsid w:val="00F607FD"/>
    <w:rsid w:val="00F63729"/>
    <w:rsid w:val="00F65C5A"/>
    <w:rsid w:val="00F709BD"/>
    <w:rsid w:val="00F70A8D"/>
    <w:rsid w:val="00F70E49"/>
    <w:rsid w:val="00F71AA1"/>
    <w:rsid w:val="00F71F1F"/>
    <w:rsid w:val="00F752F3"/>
    <w:rsid w:val="00F80559"/>
    <w:rsid w:val="00F81F29"/>
    <w:rsid w:val="00F82F1C"/>
    <w:rsid w:val="00F83396"/>
    <w:rsid w:val="00F83FF1"/>
    <w:rsid w:val="00F849FD"/>
    <w:rsid w:val="00F90219"/>
    <w:rsid w:val="00F91559"/>
    <w:rsid w:val="00F94A92"/>
    <w:rsid w:val="00F96038"/>
    <w:rsid w:val="00F97984"/>
    <w:rsid w:val="00FA06B5"/>
    <w:rsid w:val="00FA2A9E"/>
    <w:rsid w:val="00FA2BBA"/>
    <w:rsid w:val="00FA3B5D"/>
    <w:rsid w:val="00FB0967"/>
    <w:rsid w:val="00FB2B52"/>
    <w:rsid w:val="00FB3455"/>
    <w:rsid w:val="00FB5138"/>
    <w:rsid w:val="00FC00A0"/>
    <w:rsid w:val="00FC031C"/>
    <w:rsid w:val="00FD112F"/>
    <w:rsid w:val="00FD1419"/>
    <w:rsid w:val="00FD6A76"/>
    <w:rsid w:val="00FE0388"/>
    <w:rsid w:val="00FE1D1B"/>
    <w:rsid w:val="00FE20DB"/>
    <w:rsid w:val="00FF07F9"/>
    <w:rsid w:val="00FF4C67"/>
    <w:rsid w:val="022A731E"/>
    <w:rsid w:val="02A64119"/>
    <w:rsid w:val="043D6C25"/>
    <w:rsid w:val="048667D3"/>
    <w:rsid w:val="049E006D"/>
    <w:rsid w:val="054C634F"/>
    <w:rsid w:val="07BD0E51"/>
    <w:rsid w:val="08DB7764"/>
    <w:rsid w:val="0C9A6ED5"/>
    <w:rsid w:val="100603AC"/>
    <w:rsid w:val="10F1631B"/>
    <w:rsid w:val="12A93FD5"/>
    <w:rsid w:val="130C2FEE"/>
    <w:rsid w:val="13CE1647"/>
    <w:rsid w:val="17B84A32"/>
    <w:rsid w:val="19B01875"/>
    <w:rsid w:val="1A1C1CFA"/>
    <w:rsid w:val="1AD4001C"/>
    <w:rsid w:val="1C3E1334"/>
    <w:rsid w:val="1CFD4AD4"/>
    <w:rsid w:val="1D070020"/>
    <w:rsid w:val="1EB274DF"/>
    <w:rsid w:val="20106F8E"/>
    <w:rsid w:val="22B36787"/>
    <w:rsid w:val="231125AC"/>
    <w:rsid w:val="24077BFF"/>
    <w:rsid w:val="26A5092E"/>
    <w:rsid w:val="28260401"/>
    <w:rsid w:val="2B110340"/>
    <w:rsid w:val="2CF51D47"/>
    <w:rsid w:val="2F640DE8"/>
    <w:rsid w:val="31190CC6"/>
    <w:rsid w:val="33FD7752"/>
    <w:rsid w:val="37922635"/>
    <w:rsid w:val="379540A7"/>
    <w:rsid w:val="3989156E"/>
    <w:rsid w:val="3A15477F"/>
    <w:rsid w:val="3A242466"/>
    <w:rsid w:val="3C47334E"/>
    <w:rsid w:val="3CB26D1E"/>
    <w:rsid w:val="3EF07F7A"/>
    <w:rsid w:val="43ED3C40"/>
    <w:rsid w:val="495323ED"/>
    <w:rsid w:val="4AF3601A"/>
    <w:rsid w:val="4BA315C9"/>
    <w:rsid w:val="4CC6446A"/>
    <w:rsid w:val="544D740E"/>
    <w:rsid w:val="55AE0FCF"/>
    <w:rsid w:val="58FE18D5"/>
    <w:rsid w:val="594914BB"/>
    <w:rsid w:val="5CA82CD1"/>
    <w:rsid w:val="5FCE09A6"/>
    <w:rsid w:val="60ED5F11"/>
    <w:rsid w:val="64122457"/>
    <w:rsid w:val="646426D5"/>
    <w:rsid w:val="64BC4F31"/>
    <w:rsid w:val="64C3416F"/>
    <w:rsid w:val="6624577F"/>
    <w:rsid w:val="67161F83"/>
    <w:rsid w:val="68817BAC"/>
    <w:rsid w:val="68DB6F84"/>
    <w:rsid w:val="6A1706CF"/>
    <w:rsid w:val="6A563FBC"/>
    <w:rsid w:val="6A7E3167"/>
    <w:rsid w:val="6D873407"/>
    <w:rsid w:val="6DA24319"/>
    <w:rsid w:val="6EA81B75"/>
    <w:rsid w:val="6FE35A27"/>
    <w:rsid w:val="72167982"/>
    <w:rsid w:val="739B783A"/>
    <w:rsid w:val="75536D10"/>
    <w:rsid w:val="75B30C82"/>
    <w:rsid w:val="770E7892"/>
    <w:rsid w:val="77980A6E"/>
    <w:rsid w:val="77F71564"/>
    <w:rsid w:val="792A54A4"/>
    <w:rsid w:val="79F1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8B9FDE-9D90-4E4D-917F-97131E27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Hyperlink"/>
    <w:qFormat/>
    <w:rPr>
      <w:color w:val="0000FF"/>
      <w:u w:val="single"/>
    </w:rPr>
  </w:style>
  <w:style w:type="character" w:customStyle="1" w:styleId="1">
    <w:name w:val="已访问的超链接1"/>
    <w:qFormat/>
    <w:rPr>
      <w:color w:val="800080"/>
      <w:u w:val="single"/>
    </w:rPr>
  </w:style>
  <w:style w:type="character" w:customStyle="1" w:styleId="Char0">
    <w:name w:val="页眉 Char"/>
    <w:link w:val="a5"/>
    <w:qFormat/>
    <w:rPr>
      <w:kern w:val="2"/>
      <w:sz w:val="18"/>
      <w:szCs w:val="18"/>
    </w:rPr>
  </w:style>
  <w:style w:type="character" w:customStyle="1" w:styleId="Char">
    <w:name w:val="页脚 Char"/>
    <w:link w:val="a4"/>
    <w:qFormat/>
    <w:rPr>
      <w:kern w:val="2"/>
      <w:sz w:val="18"/>
      <w:szCs w:val="18"/>
    </w:rPr>
  </w:style>
  <w:style w:type="paragraph" w:customStyle="1" w:styleId="21">
    <w:name w:val="目录 21"/>
    <w:basedOn w:val="a"/>
    <w:next w:val="a"/>
    <w:uiPriority w:val="39"/>
    <w:qFormat/>
    <w:pPr>
      <w:tabs>
        <w:tab w:val="right" w:leader="dot" w:pos="8494"/>
      </w:tabs>
      <w:spacing w:line="560" w:lineRule="exact"/>
      <w:ind w:left="210"/>
      <w:jc w:val="left"/>
    </w:pPr>
    <w:rPr>
      <w:rFonts w:ascii="仿宋_GB2312" w:eastAsia="仿宋_GB2312" w:hAnsi="Calibri" w:cs="Calibri"/>
      <w:smallCaps/>
      <w:sz w:val="28"/>
      <w:szCs w:val="28"/>
    </w:rPr>
  </w:style>
  <w:style w:type="paragraph" w:customStyle="1" w:styleId="11">
    <w:name w:val="目录 11"/>
    <w:basedOn w:val="a"/>
    <w:next w:val="a"/>
    <w:uiPriority w:val="39"/>
    <w:qFormat/>
    <w:pPr>
      <w:tabs>
        <w:tab w:val="left" w:pos="840"/>
        <w:tab w:val="right" w:leader="dot" w:pos="8296"/>
      </w:tabs>
      <w:spacing w:line="560" w:lineRule="exact"/>
      <w:jc w:val="left"/>
    </w:pPr>
    <w:rPr>
      <w:rFonts w:ascii="仿宋_GB2312" w:eastAsia="仿宋_GB2312" w:hAnsi="新宋体" w:cs="Calibri"/>
      <w:b/>
      <w:bCs/>
      <w:caps/>
      <w:sz w:val="28"/>
      <w:szCs w:val="28"/>
    </w:rPr>
  </w:style>
  <w:style w:type="paragraph" w:customStyle="1" w:styleId="CharCharCharCharCharCharChar">
    <w:name w:val="Char Char Char Char Char Char Char"/>
    <w:basedOn w:val="a"/>
    <w:qFormat/>
    <w:rPr>
      <w:szCs w:val="21"/>
    </w:rPr>
  </w:style>
  <w:style w:type="paragraph" w:customStyle="1" w:styleId="10">
    <w:name w:val="列出段落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834</Words>
  <Characters>4758</Characters>
  <Application>Microsoft Office Word</Application>
  <DocSecurity>0</DocSecurity>
  <Lines>39</Lines>
  <Paragraphs>11</Paragraphs>
  <ScaleCrop>false</ScaleCrop>
  <Company>czj</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关于进行本市部门整体支出</dc:title>
  <dc:creator>傅海英</dc:creator>
  <cp:lastModifiedBy>Lenovo</cp:lastModifiedBy>
  <cp:revision>3</cp:revision>
  <cp:lastPrinted>2019-06-21T02:10:00Z</cp:lastPrinted>
  <dcterms:created xsi:type="dcterms:W3CDTF">2023-09-11T06:14:00Z</dcterms:created>
  <dcterms:modified xsi:type="dcterms:W3CDTF">2023-09-11T06:41:00Z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739EEDB2ECE141DEAF0C3D87D58590AD_13</vt:lpwstr>
  </property>
</Properties>
</file>